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bidi w:val="0"/>
        <w:adjustRightInd/>
        <w:snapToGrid/>
        <w:spacing w:beforeLines="50" w:afterLines="50" w:line="460" w:lineRule="exact"/>
        <w:jc w:val="center"/>
        <w:textAlignment w:val="auto"/>
        <w:outlineLvl w:val="0"/>
        <w:rPr>
          <w:rFonts w:ascii="黑体" w:hAnsi="宋体" w:eastAsia="黑体"/>
          <w:b/>
          <w:bCs w:val="0"/>
          <w:kern w:val="44"/>
          <w:sz w:val="32"/>
          <w:szCs w:val="32"/>
        </w:rPr>
      </w:pPr>
      <w:r>
        <w:rPr>
          <w:rFonts w:hint="eastAsia" w:ascii="黑体" w:hAnsi="宋体" w:eastAsia="黑体"/>
          <w:b/>
          <w:bCs w:val="0"/>
          <w:kern w:val="44"/>
          <w:sz w:val="32"/>
          <w:szCs w:val="32"/>
        </w:rPr>
        <w:t>汽车</w:t>
      </w:r>
      <w:r>
        <w:rPr>
          <w:rFonts w:hint="eastAsia" w:ascii="黑体" w:hAnsi="宋体" w:eastAsia="黑体"/>
          <w:b/>
          <w:bCs w:val="0"/>
          <w:kern w:val="44"/>
          <w:sz w:val="32"/>
          <w:szCs w:val="32"/>
          <w:lang w:eastAsia="zh-CN"/>
        </w:rPr>
        <w:t>制造</w:t>
      </w:r>
      <w:r>
        <w:rPr>
          <w:rFonts w:hint="eastAsia" w:ascii="黑体" w:hAnsi="宋体" w:eastAsia="黑体"/>
          <w:b/>
          <w:bCs w:val="0"/>
          <w:kern w:val="44"/>
          <w:sz w:val="32"/>
          <w:szCs w:val="32"/>
        </w:rPr>
        <w:t>与</w:t>
      </w:r>
      <w:r>
        <w:rPr>
          <w:rFonts w:hint="eastAsia" w:ascii="黑体" w:hAnsi="宋体" w:eastAsia="黑体"/>
          <w:b/>
          <w:bCs w:val="0"/>
          <w:kern w:val="44"/>
          <w:sz w:val="32"/>
          <w:szCs w:val="32"/>
          <w:lang w:eastAsia="zh-CN"/>
        </w:rPr>
        <w:t>试验</w:t>
      </w:r>
      <w:r>
        <w:rPr>
          <w:rFonts w:hint="eastAsia" w:ascii="黑体" w:hAnsi="宋体" w:eastAsia="黑体"/>
          <w:b/>
          <w:bCs w:val="0"/>
          <w:kern w:val="44"/>
          <w:sz w:val="32"/>
          <w:szCs w:val="32"/>
        </w:rPr>
        <w:t>技术</w:t>
      </w:r>
      <w:r>
        <w:rPr>
          <w:rFonts w:hint="eastAsia" w:ascii="黑体" w:hAnsi="宋体" w:eastAsia="黑体"/>
          <w:b/>
          <w:bCs w:val="0"/>
          <w:kern w:val="44"/>
          <w:sz w:val="32"/>
          <w:szCs w:val="32"/>
          <w:lang w:eastAsia="zh-CN"/>
        </w:rPr>
        <w:t>（五年）</w:t>
      </w:r>
      <w:r>
        <w:rPr>
          <w:rFonts w:hint="eastAsia" w:ascii="黑体" w:hAnsi="宋体" w:eastAsia="黑体"/>
          <w:b/>
          <w:bCs w:val="0"/>
          <w:kern w:val="44"/>
          <w:sz w:val="32"/>
          <w:szCs w:val="32"/>
        </w:rPr>
        <w:t>专业人才培养方案</w:t>
      </w:r>
    </w:p>
    <w:p>
      <w:pPr>
        <w:pageBreakBefore w:val="0"/>
        <w:kinsoku/>
        <w:wordWrap/>
        <w:overflowPunct/>
        <w:topLinePunct w:val="0"/>
        <w:bidi w:val="0"/>
        <w:adjustRightInd/>
        <w:snapToGrid/>
        <w:spacing w:before="100" w:beforeAutospacing="1" w:after="100" w:afterAutospacing="1" w:line="460" w:lineRule="exact"/>
        <w:jc w:val="left"/>
        <w:textAlignment w:val="auto"/>
        <w:rPr>
          <w:rFonts w:ascii="宋体" w:hAnsi="宋体" w:eastAsiaTheme="minorEastAsia"/>
          <w:bCs/>
          <w:color w:val="FF0000"/>
          <w:sz w:val="28"/>
          <w:szCs w:val="28"/>
        </w:rPr>
      </w:pPr>
      <w:r>
        <w:rPr>
          <w:rFonts w:hint="eastAsia" w:ascii="黑体" w:hAnsi="宋体" w:eastAsia="黑体"/>
          <w:b/>
          <w:bCs/>
          <w:sz w:val="28"/>
          <w:szCs w:val="28"/>
        </w:rPr>
        <w:t xml:space="preserve">一、专业名称及代码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 w:val="0"/>
          <w:bCs/>
          <w:sz w:val="28"/>
          <w:szCs w:val="28"/>
        </w:rPr>
      </w:pPr>
      <w:r>
        <w:rPr>
          <w:rFonts w:hint="eastAsia" w:ascii="宋体" w:hAnsi="宋体" w:eastAsiaTheme="minorEastAsia"/>
          <w:b w:val="0"/>
          <w:bCs/>
          <w:sz w:val="28"/>
          <w:szCs w:val="28"/>
        </w:rPr>
        <w:t>1.专业名称：</w:t>
      </w:r>
      <w:r>
        <w:rPr>
          <w:rFonts w:hint="eastAsia" w:ascii="宋体" w:hAnsi="宋体" w:eastAsia="宋体" w:cs="宋体"/>
          <w:b w:val="0"/>
          <w:bCs/>
          <w:kern w:val="44"/>
          <w:sz w:val="28"/>
          <w:szCs w:val="28"/>
        </w:rPr>
        <w:t>汽车</w:t>
      </w:r>
      <w:r>
        <w:rPr>
          <w:rFonts w:hint="eastAsia" w:ascii="宋体" w:hAnsi="宋体" w:eastAsia="宋体" w:cs="宋体"/>
          <w:b w:val="0"/>
          <w:bCs/>
          <w:kern w:val="44"/>
          <w:sz w:val="28"/>
          <w:szCs w:val="28"/>
          <w:lang w:eastAsia="zh-CN"/>
        </w:rPr>
        <w:t>制造</w:t>
      </w:r>
      <w:r>
        <w:rPr>
          <w:rFonts w:hint="eastAsia" w:ascii="宋体" w:hAnsi="宋体" w:eastAsia="宋体" w:cs="宋体"/>
          <w:b w:val="0"/>
          <w:bCs/>
          <w:kern w:val="44"/>
          <w:sz w:val="28"/>
          <w:szCs w:val="28"/>
        </w:rPr>
        <w:t>与</w:t>
      </w:r>
      <w:r>
        <w:rPr>
          <w:rFonts w:hint="eastAsia" w:ascii="宋体" w:hAnsi="宋体" w:eastAsia="宋体" w:cs="宋体"/>
          <w:b w:val="0"/>
          <w:bCs/>
          <w:kern w:val="44"/>
          <w:sz w:val="28"/>
          <w:szCs w:val="28"/>
          <w:lang w:eastAsia="zh-CN"/>
        </w:rPr>
        <w:t>实验</w:t>
      </w:r>
      <w:r>
        <w:rPr>
          <w:rFonts w:hint="eastAsia" w:ascii="宋体" w:hAnsi="宋体" w:eastAsia="宋体" w:cs="宋体"/>
          <w:b w:val="0"/>
          <w:bCs/>
          <w:kern w:val="44"/>
          <w:sz w:val="28"/>
          <w:szCs w:val="28"/>
        </w:rPr>
        <w:t>技术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Theme="minorEastAsia"/>
          <w:b w:val="0"/>
          <w:bCs/>
          <w:sz w:val="28"/>
          <w:szCs w:val="28"/>
          <w:lang w:val="en-US" w:eastAsia="zh-CN"/>
        </w:rPr>
      </w:pPr>
      <w:r>
        <w:rPr>
          <w:rFonts w:hint="eastAsia" w:ascii="宋体" w:hAnsi="宋体" w:eastAsiaTheme="minorEastAsia"/>
          <w:b w:val="0"/>
          <w:bCs/>
          <w:sz w:val="28"/>
          <w:szCs w:val="28"/>
        </w:rPr>
        <w:t>2.专业代码：</w:t>
      </w:r>
      <w:r>
        <w:rPr>
          <w:rFonts w:hint="eastAsia" w:ascii="宋体" w:hAnsi="宋体" w:eastAsiaTheme="minorEastAsia"/>
          <w:b w:val="0"/>
          <w:bCs/>
          <w:sz w:val="28"/>
          <w:szCs w:val="28"/>
          <w:lang w:val="en-US" w:eastAsia="zh-CN"/>
        </w:rPr>
        <w:t>460701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Theme="minorEastAsia"/>
          <w:b w:val="0"/>
          <w:bCs/>
          <w:sz w:val="28"/>
          <w:szCs w:val="28"/>
        </w:rPr>
      </w:pPr>
      <w:r>
        <w:rPr>
          <w:rFonts w:hint="eastAsia" w:ascii="宋体" w:hAnsi="宋体" w:eastAsiaTheme="minorEastAsia"/>
          <w:b w:val="0"/>
          <w:bCs/>
          <w:sz w:val="28"/>
          <w:szCs w:val="28"/>
          <w:lang w:val="en-US" w:eastAsia="zh-CN"/>
        </w:rPr>
        <w:t>3</w:t>
      </w:r>
      <w:r>
        <w:rPr>
          <w:rFonts w:hint="eastAsia" w:ascii="宋体" w:hAnsi="宋体" w:eastAsiaTheme="minorEastAsia"/>
          <w:b w:val="0"/>
          <w:bCs/>
          <w:sz w:val="28"/>
          <w:szCs w:val="28"/>
        </w:rPr>
        <w:t>.专业代码：汽车检测与维修</w:t>
      </w:r>
    </w:p>
    <w:p>
      <w:pPr>
        <w:pageBreakBefore w:val="0"/>
        <w:kinsoku/>
        <w:wordWrap/>
        <w:overflowPunct/>
        <w:topLinePunct w:val="0"/>
        <w:bidi w:val="0"/>
        <w:adjustRightInd/>
        <w:snapToGrid/>
        <w:spacing w:before="100" w:beforeAutospacing="1" w:after="100" w:afterAutospacing="1" w:line="460" w:lineRule="exact"/>
        <w:jc w:val="left"/>
        <w:textAlignment w:val="auto"/>
        <w:rPr>
          <w:rFonts w:hint="eastAsia" w:ascii="宋体" w:hAnsi="宋体" w:eastAsia="黑体"/>
          <w:bCs/>
          <w:color w:val="FF0000"/>
          <w:sz w:val="28"/>
          <w:szCs w:val="28"/>
          <w:lang w:eastAsia="zh-CN"/>
        </w:rPr>
      </w:pPr>
      <w:r>
        <w:rPr>
          <w:rFonts w:hint="eastAsia" w:ascii="黑体" w:hAnsi="宋体" w:eastAsia="黑体"/>
          <w:b/>
          <w:bCs/>
          <w:sz w:val="28"/>
          <w:szCs w:val="28"/>
        </w:rPr>
        <w:t>二、学制、层次</w:t>
      </w:r>
      <w:r>
        <w:rPr>
          <w:rFonts w:hint="eastAsia" w:ascii="黑体" w:hAnsi="宋体" w:eastAsia="黑体"/>
          <w:b/>
          <w:bCs/>
          <w:sz w:val="28"/>
          <w:szCs w:val="28"/>
          <w:lang w:eastAsia="zh-CN"/>
        </w:rPr>
        <w:t>、</w:t>
      </w:r>
      <w:r>
        <w:rPr>
          <w:rFonts w:hint="eastAsia" w:ascii="黑体" w:hAnsi="宋体" w:eastAsia="黑体"/>
          <w:b/>
          <w:bCs/>
          <w:sz w:val="28"/>
          <w:szCs w:val="28"/>
        </w:rPr>
        <w:t>招生对象</w:t>
      </w:r>
      <w:r>
        <w:rPr>
          <w:rFonts w:hint="eastAsia" w:ascii="黑体" w:hAnsi="宋体" w:eastAsia="黑体"/>
          <w:b/>
          <w:bCs/>
          <w:sz w:val="28"/>
          <w:szCs w:val="28"/>
          <w:lang w:eastAsia="zh-CN"/>
        </w:rPr>
        <w:t>及修业年限</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 w:val="0"/>
          <w:bCs/>
          <w:sz w:val="24"/>
        </w:rPr>
      </w:pPr>
      <w:r>
        <w:rPr>
          <w:rFonts w:hint="eastAsia" w:ascii="宋体" w:hAnsi="宋体" w:eastAsiaTheme="minorEastAsia"/>
          <w:b w:val="0"/>
          <w:bCs/>
          <w:sz w:val="28"/>
          <w:szCs w:val="28"/>
        </w:rPr>
        <w:t>1.学制：5年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 w:val="0"/>
          <w:bCs/>
          <w:sz w:val="28"/>
          <w:szCs w:val="28"/>
        </w:rPr>
      </w:pPr>
      <w:r>
        <w:rPr>
          <w:rFonts w:hint="eastAsia" w:ascii="宋体" w:hAnsi="宋体" w:eastAsiaTheme="minorEastAsia"/>
          <w:b w:val="0"/>
          <w:bCs/>
          <w:sz w:val="28"/>
          <w:szCs w:val="28"/>
        </w:rPr>
        <w:t>2.层次：高职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Theme="minorEastAsia"/>
          <w:b w:val="0"/>
          <w:bCs/>
          <w:sz w:val="28"/>
          <w:szCs w:val="28"/>
          <w:lang w:val="en-US" w:eastAsia="zh-CN"/>
        </w:rPr>
      </w:pPr>
      <w:r>
        <w:rPr>
          <w:rFonts w:hint="eastAsia" w:ascii="宋体" w:hAnsi="宋体" w:eastAsiaTheme="minorEastAsia"/>
          <w:b w:val="0"/>
          <w:bCs/>
          <w:sz w:val="28"/>
          <w:szCs w:val="28"/>
        </w:rPr>
        <w:t>3.招生对象：初中应届毕业生</w:t>
      </w:r>
      <w:r>
        <w:rPr>
          <w:rFonts w:hint="eastAsia" w:ascii="宋体" w:hAnsi="宋体" w:eastAsiaTheme="minorEastAsia"/>
          <w:b w:val="0"/>
          <w:bCs/>
          <w:sz w:val="28"/>
          <w:szCs w:val="28"/>
          <w:lang w:eastAsia="zh-CN"/>
        </w:rPr>
        <w:t>（</w:t>
      </w:r>
      <w:r>
        <w:rPr>
          <w:rFonts w:hint="eastAsia" w:ascii="宋体" w:hAnsi="宋体" w:eastAsiaTheme="minorEastAsia"/>
          <w:b w:val="0"/>
          <w:bCs/>
          <w:sz w:val="28"/>
          <w:szCs w:val="28"/>
          <w:lang w:val="en-US" w:eastAsia="zh-CN"/>
        </w:rPr>
        <w:t>3+2中高职联合贯通培养）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b w:val="0"/>
          <w:bCs/>
          <w:sz w:val="28"/>
          <w:szCs w:val="28"/>
        </w:rPr>
      </w:pPr>
      <w:r>
        <w:rPr>
          <w:rFonts w:hint="eastAsia" w:ascii="宋体" w:hAnsi="宋体" w:eastAsiaTheme="minorEastAsia"/>
          <w:b w:val="0"/>
          <w:bCs/>
          <w:sz w:val="28"/>
          <w:szCs w:val="28"/>
        </w:rPr>
        <w:t>4.修业</w:t>
      </w:r>
      <w:r>
        <w:rPr>
          <w:rFonts w:ascii="宋体" w:hAnsi="宋体" w:eastAsiaTheme="minorEastAsia"/>
          <w:b w:val="0"/>
          <w:bCs/>
          <w:sz w:val="28"/>
          <w:szCs w:val="28"/>
        </w:rPr>
        <w:t>年限：</w:t>
      </w:r>
      <w:r>
        <w:rPr>
          <w:rFonts w:hint="eastAsia" w:ascii="宋体" w:hAnsi="宋体" w:eastAsiaTheme="minorEastAsia"/>
          <w:b w:val="0"/>
          <w:bCs/>
          <w:sz w:val="28"/>
          <w:szCs w:val="28"/>
        </w:rPr>
        <w:t>5</w:t>
      </w:r>
      <w:r>
        <w:rPr>
          <w:rFonts w:ascii="宋体" w:hAnsi="宋体" w:eastAsiaTheme="minorEastAsia"/>
          <w:b w:val="0"/>
          <w:bCs/>
          <w:sz w:val="28"/>
          <w:szCs w:val="28"/>
        </w:rPr>
        <w:t>-7</w:t>
      </w:r>
      <w:r>
        <w:rPr>
          <w:rFonts w:hint="eastAsia" w:ascii="宋体" w:hAnsi="宋体" w:eastAsiaTheme="minorEastAsia"/>
          <w:b w:val="0"/>
          <w:bCs/>
          <w:sz w:val="28"/>
          <w:szCs w:val="28"/>
        </w:rPr>
        <w:t>年</w:t>
      </w:r>
    </w:p>
    <w:p>
      <w:pPr>
        <w:pageBreakBefore w:val="0"/>
        <w:kinsoku/>
        <w:wordWrap/>
        <w:overflowPunct/>
        <w:topLinePunct w:val="0"/>
        <w:bidi w:val="0"/>
        <w:adjustRightInd/>
        <w:snapToGrid/>
        <w:spacing w:before="100" w:beforeAutospacing="1" w:after="100" w:afterAutospacing="1" w:line="460" w:lineRule="exact"/>
        <w:jc w:val="left"/>
        <w:textAlignment w:val="auto"/>
        <w:rPr>
          <w:rFonts w:ascii="宋体" w:hAnsi="宋体" w:eastAsiaTheme="minorEastAsia"/>
          <w:bCs/>
          <w:color w:val="FF0000"/>
          <w:sz w:val="28"/>
          <w:szCs w:val="28"/>
        </w:rPr>
      </w:pPr>
      <w:r>
        <w:rPr>
          <w:rFonts w:hint="eastAsia" w:ascii="黑体" w:hAnsi="宋体" w:eastAsia="黑体"/>
          <w:b/>
          <w:bCs/>
          <w:sz w:val="28"/>
          <w:szCs w:val="28"/>
        </w:rPr>
        <w:t>三、培养目标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sz w:val="28"/>
          <w:szCs w:val="28"/>
        </w:rPr>
      </w:pPr>
      <w:r>
        <w:rPr>
          <w:rFonts w:hint="eastAsia" w:ascii="宋体" w:hAnsi="宋体" w:eastAsiaTheme="minorEastAsia"/>
          <w:sz w:val="28"/>
          <w:szCs w:val="28"/>
        </w:rPr>
        <w:t>本专业培养理想信念坚定，德、智、体、美、劳全面发展。具有一定的科学文化水平、良好的人文素养、职业道德和创新意识。精益求精的工匠精神，较强的就业能力和可持续发展的能力。掌握现代汽车技术的基本原理以及检测与维修基本技能和汽车检测设备的操作方法。能够使用先进的智能化设备对机动车进行故障诊断、检测。具有汽车零部件拆装及钣金喷涂规范操作的能力；可在各类汽车维修企业从事汽车发动机维修、底盘维修、汽车电器维修和汽车电控故障检测与诊断等技术技能型人才。</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eastAsiaTheme="minorEastAsia"/>
          <w:bCs/>
          <w:color w:val="FF0000"/>
          <w:sz w:val="28"/>
          <w:szCs w:val="28"/>
        </w:rPr>
      </w:pPr>
      <w:r>
        <w:rPr>
          <w:rFonts w:hint="eastAsia" w:ascii="黑体" w:hAnsi="宋体" w:eastAsia="黑体"/>
          <w:b/>
          <w:bCs/>
          <w:sz w:val="28"/>
          <w:szCs w:val="28"/>
        </w:rPr>
        <w:t>四、培养规格及就业岗位群</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textAlignment w:val="auto"/>
        <w:rPr>
          <w:rFonts w:ascii="黑体" w:hAnsi="宋体" w:eastAsia="黑体"/>
          <w:color w:val="000000"/>
          <w:sz w:val="28"/>
          <w:szCs w:val="28"/>
        </w:rPr>
      </w:pPr>
      <w:r>
        <w:rPr>
          <w:rFonts w:hint="eastAsia" w:ascii="黑体" w:eastAsia="黑体"/>
          <w:bCs/>
          <w:sz w:val="28"/>
          <w:szCs w:val="28"/>
        </w:rPr>
        <w:t>（一）素质目标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w:t>
      </w:r>
      <w:r>
        <w:rPr>
          <w:rFonts w:hint="eastAsia" w:ascii="宋体" w:hAnsi="宋体" w:cs="宋体" w:eastAsiaTheme="minorEastAsia"/>
          <w:sz w:val="28"/>
          <w:szCs w:val="28"/>
          <w:lang w:eastAsia="zh-CN"/>
        </w:rPr>
        <w:t>基本素质。</w:t>
      </w:r>
      <w:r>
        <w:rPr>
          <w:rFonts w:hint="eastAsia" w:ascii="宋体" w:hAnsi="宋体" w:cs="宋体" w:eastAsiaTheme="minorEastAsia"/>
          <w:sz w:val="28"/>
          <w:szCs w:val="28"/>
        </w:rPr>
        <w:t>坚定拥护中国共产党的领导和我国社会主义制度，在习近平新时代中国特色社会主义思想指导下，践行社会主义核心价值观，具有深厚的爱国情怀和对中华民族的自豪感</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崇尚宪法、遵纪守法、诚实守信、尊重生命、热爱劳动、履行道德准则和行为规范，具有社会责任感和社会参与意识</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具有质量意识、环保意识、安全意识、信息素养、工匠精神、创新思维。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2.职业素质。</w:t>
      </w:r>
      <w:r>
        <w:rPr>
          <w:rFonts w:hint="eastAsia" w:ascii="宋体" w:hAnsi="宋体" w:cs="宋体" w:eastAsiaTheme="minorEastAsia"/>
          <w:sz w:val="28"/>
          <w:szCs w:val="28"/>
        </w:rPr>
        <w:t>具有“爱岗敬业、诚实守信、廉洁自律、客观公正、坚持准则、提高技能、参与管理、强化服务”等汽修职业道德高素质的职业人才</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有热爱汽修工作，敬重汽修职业、严肃认真、一丝不苟、忠于职守、尽职尽责的职业基本素养</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具有不断提高汽修专业技能的意识和愿望，要有勤学苦练努力钻研业务的精神和科学的学习方法，服从企业管理的意识</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具有自我管理能力、职业生涯规划的意识；有较强的集体意识和团队合作精神。</w:t>
      </w:r>
    </w:p>
    <w:p>
      <w:pPr>
        <w:keepNext w:val="0"/>
        <w:keepLines w:val="0"/>
        <w:pageBreakBefore w:val="0"/>
        <w:kinsoku/>
        <w:wordWrap/>
        <w:overflowPunct/>
        <w:topLinePunct w:val="0"/>
        <w:bidi w:val="0"/>
        <w:adjustRightInd/>
        <w:snapToGrid/>
        <w:spacing w:line="460" w:lineRule="exact"/>
        <w:ind w:firstLine="280" w:firstLineChars="100"/>
        <w:textAlignment w:val="auto"/>
        <w:rPr>
          <w:rFonts w:ascii="黑体" w:eastAsia="黑体"/>
          <w:bCs/>
          <w:sz w:val="28"/>
          <w:szCs w:val="28"/>
        </w:rPr>
      </w:pPr>
      <w:r>
        <w:rPr>
          <w:rFonts w:hint="eastAsia" w:ascii="黑体" w:eastAsia="黑体"/>
          <w:bCs/>
          <w:sz w:val="28"/>
          <w:szCs w:val="28"/>
        </w:rPr>
        <w:t>（二）知识目标</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1.掌握必备的思想政治理论、科学文化基础知识和中华优秀传统文化知识。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2.熟悉与本专业相关的法律法规以及环境保护、安全消防等知识。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3.熟悉机械制图、掌握电脑制图的基础知识。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4.掌握汽车电器、汽车电子技术、液压与气动的基础知识。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5.掌握纯电动汽车、混合动力汽车、新能源汽车电机及电机控制的基础知识。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6.掌握汽修营销、保险理赔、理赔成本核算、汽车售后服务的理论知识。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7.掌握汽车电器、发动机、底盘、钣金、喷涂等维修技术。</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8.掌握汽车网络技术、总线技术的检测与维修技术。</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9.掌握汽车检测与维修典型应用及系统维护相关知识。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10.掌握汽修维修制度、产品营销、项目管理、企业管理等相关知识。</w:t>
      </w:r>
    </w:p>
    <w:p>
      <w:pPr>
        <w:keepNext w:val="0"/>
        <w:keepLines w:val="0"/>
        <w:pageBreakBefore w:val="0"/>
        <w:kinsoku/>
        <w:wordWrap/>
        <w:overflowPunct/>
        <w:topLinePunct w:val="0"/>
        <w:bidi w:val="0"/>
        <w:adjustRightInd/>
        <w:snapToGrid/>
        <w:spacing w:line="460" w:lineRule="exact"/>
        <w:ind w:firstLine="280" w:firstLineChars="100"/>
        <w:textAlignment w:val="auto"/>
        <w:rPr>
          <w:rFonts w:ascii="黑体" w:eastAsia="黑体"/>
          <w:bCs/>
          <w:sz w:val="28"/>
          <w:szCs w:val="28"/>
        </w:rPr>
      </w:pPr>
      <w:r>
        <w:rPr>
          <w:rFonts w:hint="eastAsia" w:ascii="黑体" w:eastAsia="黑体"/>
          <w:bCs/>
          <w:sz w:val="28"/>
          <w:szCs w:val="28"/>
        </w:rPr>
        <w:t>（三）能力目标</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1.具有探究学习、终生学习、分析问题和解决问题的能力。</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2.具有良好的语言、文字表达能力和沟通能力。</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3.具有文字、表格、图像的计算机处理能力、本专业必需的信息技术应用能力。</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4.能阅读汽车检测与维修相关英文技术手册。</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5.具备汽车营销岗位工作能力，能够正确的与客户交流，进行销售。</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6.具备汽修保险理赔核算能力，能够准确进行事故理赔金额的计算，熟悉进行理赔保险凭证审核。</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7.具备汽车维护保养的能力，能够正确使用各种维护保养工具，并进常规的汽车维护保养。</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8.具备常见汽车故障处理的能力，能够合理选择维修方法，正确使用维修工具、维修设备，进行故障维修。</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9.具备汽车电器维修的能力，能够正确使用各种汽车电器维修工具，并进常规的汽车电器维修。</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10.具备汽车钣金修复的能力，能够正确使用各种钣金喷涂工具、设备，并进基本的钣金修复工作。</w:t>
      </w:r>
    </w:p>
    <w:p>
      <w:pPr>
        <w:keepNext w:val="0"/>
        <w:keepLines w:val="0"/>
        <w:pageBreakBefore w:val="0"/>
        <w:kinsoku/>
        <w:wordWrap/>
        <w:overflowPunct/>
        <w:topLinePunct w:val="0"/>
        <w:bidi w:val="0"/>
        <w:adjustRightInd/>
        <w:snapToGrid/>
        <w:spacing w:line="460" w:lineRule="exact"/>
        <w:ind w:firstLine="280" w:firstLineChars="100"/>
        <w:textAlignment w:val="auto"/>
        <w:rPr>
          <w:rFonts w:ascii="黑体" w:eastAsia="黑体"/>
          <w:bCs/>
          <w:color w:val="000000"/>
          <w:sz w:val="28"/>
          <w:szCs w:val="28"/>
        </w:rPr>
      </w:pPr>
      <w:r>
        <w:rPr>
          <w:rFonts w:hint="eastAsia" w:ascii="黑体" w:eastAsia="黑体"/>
          <w:bCs/>
          <w:color w:val="000000"/>
          <w:sz w:val="28"/>
          <w:szCs w:val="28"/>
        </w:rPr>
        <w:t>（四）就业岗位群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60" w:lineRule="exact"/>
        <w:ind w:firstLine="560" w:firstLineChars="200"/>
        <w:textAlignment w:val="auto"/>
        <w:rPr>
          <w:rFonts w:ascii="宋体" w:hAnsi="宋体" w:eastAsiaTheme="minorEastAsia"/>
          <w:sz w:val="28"/>
          <w:szCs w:val="28"/>
        </w:rPr>
      </w:pPr>
      <w:r>
        <w:rPr>
          <w:rFonts w:hint="eastAsia" w:ascii="宋体" w:hAnsi="宋体" w:eastAsiaTheme="minorEastAsia"/>
          <w:sz w:val="28"/>
          <w:szCs w:val="28"/>
        </w:rPr>
        <w:t>主要面向汽车营销、理赔、维护保养、钣金喷涂、二手车销售等各类企业和机构，在汽车检测与维修生产线操作、检测与维修、运行维护与服务等岗位。</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60" w:lineRule="exact"/>
        <w:ind w:firstLine="560" w:firstLineChars="200"/>
        <w:textAlignment w:val="auto"/>
        <w:rPr>
          <w:rFonts w:ascii="宋体" w:hAnsi="宋体" w:eastAsiaTheme="minorEastAsia"/>
          <w:sz w:val="28"/>
          <w:szCs w:val="28"/>
        </w:rPr>
      </w:pPr>
      <w:r>
        <w:rPr>
          <w:rFonts w:hint="eastAsia" w:ascii="宋体" w:hAnsi="宋体" w:eastAsiaTheme="minorEastAsia"/>
          <w:sz w:val="28"/>
          <w:szCs w:val="28"/>
        </w:rPr>
        <w:t>毕业生可以从事汽车零部件销售、整车销售等、汽车维护保养、汽车修理、车身修复、汽车零部件装配、汽车整车装配、新车质检、 二手车质检工作、汽车维修质检、汽车鉴定估价、汽车综合技术状况的检测与评定</w:t>
      </w:r>
    </w:p>
    <w:p>
      <w:pPr>
        <w:pageBreakBefore w:val="0"/>
        <w:kinsoku/>
        <w:wordWrap/>
        <w:overflowPunct/>
        <w:topLinePunct w:val="0"/>
        <w:bidi w:val="0"/>
        <w:adjustRightInd/>
        <w:snapToGrid/>
        <w:spacing w:before="100" w:beforeAutospacing="1" w:line="460" w:lineRule="exact"/>
        <w:jc w:val="left"/>
        <w:textAlignment w:val="auto"/>
        <w:rPr>
          <w:rFonts w:ascii="宋体" w:hAnsi="宋体" w:eastAsiaTheme="minorEastAsia"/>
          <w:bCs/>
          <w:color w:val="FF0000"/>
          <w:sz w:val="28"/>
          <w:szCs w:val="28"/>
        </w:rPr>
      </w:pPr>
      <w:r>
        <w:rPr>
          <w:rFonts w:hint="eastAsia" w:ascii="黑体" w:eastAsia="黑体"/>
          <w:b/>
          <w:sz w:val="28"/>
          <w:szCs w:val="28"/>
        </w:rPr>
        <w:t>五、职业岗位能力、素质、知识结构图</w:t>
      </w:r>
    </w:p>
    <w:tbl>
      <w:tblPr>
        <w:tblStyle w:val="3"/>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27"/>
        <w:gridCol w:w="1718"/>
        <w:gridCol w:w="3137"/>
        <w:gridCol w:w="531"/>
        <w:gridCol w:w="135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694"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专业</w:t>
            </w:r>
          </w:p>
          <w:p>
            <w:pPr>
              <w:jc w:val="center"/>
              <w:rPr>
                <w:rFonts w:hint="eastAsia" w:ascii="宋体" w:hAnsi="宋体" w:eastAsia="宋体" w:cs="宋体"/>
                <w:sz w:val="18"/>
                <w:szCs w:val="18"/>
              </w:rPr>
            </w:pPr>
            <w:r>
              <w:rPr>
                <w:rFonts w:hint="eastAsia" w:ascii="宋体" w:hAnsi="宋体" w:eastAsia="宋体" w:cs="宋体"/>
                <w:sz w:val="18"/>
                <w:szCs w:val="18"/>
              </w:rPr>
              <w:t>岗位</w:t>
            </w:r>
          </w:p>
        </w:tc>
        <w:tc>
          <w:tcPr>
            <w:tcW w:w="1527"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专项能力</w:t>
            </w:r>
          </w:p>
        </w:tc>
        <w:tc>
          <w:tcPr>
            <w:tcW w:w="1718"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单项能力</w:t>
            </w:r>
          </w:p>
        </w:tc>
        <w:tc>
          <w:tcPr>
            <w:tcW w:w="3668" w:type="dxa"/>
            <w:gridSpan w:val="2"/>
            <w:vAlign w:val="center"/>
          </w:tcPr>
          <w:p>
            <w:pPr>
              <w:jc w:val="center"/>
              <w:rPr>
                <w:rFonts w:hint="eastAsia" w:ascii="宋体" w:hAnsi="宋体" w:eastAsia="宋体" w:cs="宋体"/>
                <w:sz w:val="18"/>
                <w:szCs w:val="18"/>
              </w:rPr>
            </w:pPr>
            <w:r>
              <w:rPr>
                <w:rFonts w:hint="eastAsia" w:ascii="宋体" w:hAnsi="宋体" w:eastAsia="宋体" w:cs="宋体"/>
                <w:sz w:val="18"/>
                <w:szCs w:val="18"/>
              </w:rPr>
              <w:t>能力要素</w:t>
            </w:r>
          </w:p>
        </w:tc>
        <w:tc>
          <w:tcPr>
            <w:tcW w:w="1350"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相关课程</w:t>
            </w:r>
          </w:p>
        </w:tc>
        <w:tc>
          <w:tcPr>
            <w:tcW w:w="913"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94" w:type="dxa"/>
            <w:vMerge w:val="continue"/>
            <w:vAlign w:val="center"/>
          </w:tcPr>
          <w:p>
            <w:pPr>
              <w:adjustRightInd w:val="0"/>
              <w:snapToGrid w:val="0"/>
              <w:spacing w:line="380" w:lineRule="exact"/>
              <w:jc w:val="center"/>
              <w:rPr>
                <w:rFonts w:hint="eastAsia" w:ascii="宋体" w:hAnsi="宋体" w:eastAsia="宋体" w:cs="宋体"/>
                <w:b/>
                <w:sz w:val="18"/>
                <w:szCs w:val="18"/>
              </w:rPr>
            </w:pPr>
          </w:p>
        </w:tc>
        <w:tc>
          <w:tcPr>
            <w:tcW w:w="1527" w:type="dxa"/>
            <w:vMerge w:val="continue"/>
            <w:vAlign w:val="center"/>
          </w:tcPr>
          <w:p>
            <w:pPr>
              <w:adjustRightInd w:val="0"/>
              <w:snapToGrid w:val="0"/>
              <w:spacing w:line="380" w:lineRule="exact"/>
              <w:jc w:val="center"/>
              <w:rPr>
                <w:rFonts w:hint="eastAsia" w:ascii="宋体" w:hAnsi="宋体" w:eastAsia="宋体" w:cs="宋体"/>
                <w:b/>
                <w:sz w:val="18"/>
                <w:szCs w:val="18"/>
              </w:rPr>
            </w:pPr>
          </w:p>
        </w:tc>
        <w:tc>
          <w:tcPr>
            <w:tcW w:w="1718" w:type="dxa"/>
            <w:vMerge w:val="continue"/>
            <w:vAlign w:val="center"/>
          </w:tcPr>
          <w:p>
            <w:pPr>
              <w:adjustRightInd w:val="0"/>
              <w:snapToGrid w:val="0"/>
              <w:spacing w:line="380" w:lineRule="exact"/>
              <w:jc w:val="center"/>
              <w:rPr>
                <w:rFonts w:hint="eastAsia" w:ascii="宋体" w:hAnsi="宋体" w:eastAsia="宋体" w:cs="宋体"/>
                <w:b/>
                <w:sz w:val="18"/>
                <w:szCs w:val="18"/>
              </w:rPr>
            </w:pPr>
          </w:p>
        </w:tc>
        <w:tc>
          <w:tcPr>
            <w:tcW w:w="313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要求</w:t>
            </w:r>
          </w:p>
        </w:tc>
        <w:tc>
          <w:tcPr>
            <w:tcW w:w="53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层次</w:t>
            </w:r>
          </w:p>
        </w:tc>
        <w:tc>
          <w:tcPr>
            <w:tcW w:w="1350" w:type="dxa"/>
            <w:vMerge w:val="continue"/>
            <w:vAlign w:val="center"/>
          </w:tcPr>
          <w:p>
            <w:pPr>
              <w:jc w:val="center"/>
              <w:rPr>
                <w:rFonts w:hint="eastAsia" w:ascii="宋体" w:hAnsi="宋体" w:eastAsia="宋体" w:cs="宋体"/>
                <w:sz w:val="18"/>
                <w:szCs w:val="18"/>
              </w:rPr>
            </w:pPr>
          </w:p>
        </w:tc>
        <w:tc>
          <w:tcPr>
            <w:tcW w:w="913" w:type="dxa"/>
            <w:vMerge w:val="continue"/>
            <w:vAlign w:val="center"/>
          </w:tcPr>
          <w:p>
            <w:pPr>
              <w:adjustRightInd w:val="0"/>
              <w:snapToGrid w:val="0"/>
              <w:spacing w:line="380" w:lineRule="exact"/>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维护保养岗</w:t>
            </w:r>
          </w:p>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位</w:t>
            </w:r>
          </w:p>
          <w:p>
            <w:pPr>
              <w:adjustRightInd w:val="0"/>
              <w:snapToGrid w:val="0"/>
              <w:spacing w:line="380" w:lineRule="exact"/>
              <w:jc w:val="center"/>
              <w:rPr>
                <w:rFonts w:hint="eastAsia" w:ascii="宋体" w:hAnsi="宋体" w:eastAsia="宋体" w:cs="宋体"/>
                <w:b/>
                <w:sz w:val="18"/>
                <w:szCs w:val="18"/>
              </w:rPr>
            </w:pPr>
          </w:p>
        </w:tc>
        <w:tc>
          <w:tcPr>
            <w:tcW w:w="1527" w:type="dxa"/>
            <w:vAlign w:val="center"/>
          </w:tcPr>
          <w:p>
            <w:pPr>
              <w:widowControl/>
              <w:adjustRightInd w:val="0"/>
              <w:snapToGrid w:val="0"/>
              <w:spacing w:line="380" w:lineRule="exact"/>
              <w:jc w:val="center"/>
              <w:rPr>
                <w:rFonts w:hint="eastAsia" w:ascii="宋体" w:hAnsi="宋体" w:eastAsia="宋体" w:cs="宋体"/>
                <w:kern w:val="0"/>
                <w:sz w:val="18"/>
                <w:szCs w:val="18"/>
              </w:rPr>
            </w:pPr>
            <w:r>
              <w:rPr>
                <w:rFonts w:hint="eastAsia" w:ascii="宋体" w:hAnsi="宋体" w:eastAsia="宋体" w:cs="宋体"/>
                <w:sz w:val="18"/>
                <w:szCs w:val="18"/>
                <w:lang w:val="zh-CN"/>
              </w:rPr>
              <w:t>日常维护保养、一级维护保养、二级维护保养、三级维护保养</w:t>
            </w:r>
          </w:p>
        </w:tc>
        <w:tc>
          <w:tcPr>
            <w:tcW w:w="1718" w:type="dxa"/>
            <w:vAlign w:val="center"/>
          </w:tcPr>
          <w:p>
            <w:pPr>
              <w:widowControl/>
              <w:adjustRightInd w:val="0"/>
              <w:snapToGrid w:val="0"/>
              <w:spacing w:line="380" w:lineRule="exact"/>
              <w:jc w:val="center"/>
              <w:rPr>
                <w:rFonts w:hint="eastAsia" w:ascii="宋体" w:hAnsi="宋体" w:eastAsia="宋体" w:cs="宋体"/>
                <w:b/>
                <w:kern w:val="0"/>
                <w:sz w:val="18"/>
                <w:szCs w:val="18"/>
              </w:rPr>
            </w:pPr>
            <w:r>
              <w:rPr>
                <w:rFonts w:hint="eastAsia" w:ascii="宋体" w:hAnsi="宋体" w:eastAsia="宋体" w:cs="宋体"/>
                <w:sz w:val="18"/>
                <w:szCs w:val="18"/>
                <w:lang w:val="zh-CN"/>
              </w:rPr>
              <w:t>打扫、清洗和外表养护作业、检查与紧固作业、检验与调整作业、电气作业、加注作业等</w:t>
            </w:r>
          </w:p>
        </w:tc>
        <w:tc>
          <w:tcPr>
            <w:tcW w:w="3137" w:type="dxa"/>
            <w:vAlign w:val="center"/>
          </w:tcPr>
          <w:p>
            <w:pPr>
              <w:widowControl/>
              <w:adjustRightInd w:val="0"/>
              <w:snapToGrid w:val="0"/>
              <w:spacing w:line="380" w:lineRule="exact"/>
              <w:jc w:val="center"/>
              <w:rPr>
                <w:rFonts w:hint="eastAsia" w:ascii="宋体" w:hAnsi="宋体" w:eastAsia="宋体" w:cs="宋体"/>
                <w:bCs/>
                <w:sz w:val="18"/>
                <w:szCs w:val="18"/>
              </w:rPr>
            </w:pPr>
            <w:r>
              <w:rPr>
                <w:rFonts w:hint="eastAsia" w:ascii="宋体" w:hAnsi="宋体" w:eastAsia="宋体" w:cs="宋体"/>
                <w:sz w:val="18"/>
                <w:szCs w:val="18"/>
              </w:rPr>
              <w:t>1.</w:t>
            </w:r>
            <w:r>
              <w:rPr>
                <w:rFonts w:hint="eastAsia" w:ascii="宋体" w:hAnsi="宋体" w:eastAsia="宋体" w:cs="宋体"/>
                <w:sz w:val="18"/>
                <w:szCs w:val="18"/>
                <w:lang w:val="zh-CN"/>
              </w:rPr>
              <w:t>具备查询查询车辆信息，初步判断车辆技术状况的能力</w:t>
            </w:r>
            <w:r>
              <w:rPr>
                <w:rFonts w:hint="eastAsia" w:ascii="宋体" w:hAnsi="宋体" w:eastAsia="宋体" w:cs="宋体"/>
                <w:sz w:val="18"/>
                <w:szCs w:val="18"/>
              </w:rPr>
              <w:t>2.</w:t>
            </w:r>
            <w:r>
              <w:rPr>
                <w:rFonts w:hint="eastAsia" w:ascii="宋体" w:hAnsi="宋体" w:eastAsia="宋体" w:cs="宋体"/>
                <w:sz w:val="18"/>
                <w:szCs w:val="18"/>
                <w:lang w:val="zh-CN"/>
              </w:rPr>
              <w:t>根据车辆状况制定维护工作计划的能力。</w:t>
            </w:r>
            <w:r>
              <w:rPr>
                <w:rFonts w:hint="eastAsia" w:ascii="宋体" w:hAnsi="宋体" w:eastAsia="宋体" w:cs="宋体"/>
                <w:sz w:val="18"/>
                <w:szCs w:val="18"/>
              </w:rPr>
              <w:t>3.</w:t>
            </w:r>
            <w:r>
              <w:rPr>
                <w:rFonts w:hint="eastAsia" w:ascii="宋体" w:hAnsi="宋体" w:eastAsia="宋体" w:cs="宋体"/>
                <w:sz w:val="18"/>
                <w:szCs w:val="18"/>
                <w:lang w:val="zh-CN"/>
              </w:rPr>
              <w:t>具备车辆整车全面维护能力。</w:t>
            </w:r>
            <w:r>
              <w:rPr>
                <w:rFonts w:hint="eastAsia" w:ascii="宋体" w:hAnsi="宋体" w:eastAsia="宋体" w:cs="宋体"/>
                <w:sz w:val="18"/>
                <w:szCs w:val="18"/>
              </w:rPr>
              <w:t>4.</w:t>
            </w:r>
            <w:r>
              <w:rPr>
                <w:rFonts w:hint="eastAsia" w:ascii="宋体" w:hAnsi="宋体" w:eastAsia="宋体" w:cs="宋体"/>
                <w:sz w:val="18"/>
                <w:szCs w:val="18"/>
                <w:lang w:val="zh-CN"/>
              </w:rPr>
              <w:t>具备车辆维护质量检查能力。</w:t>
            </w:r>
          </w:p>
        </w:tc>
        <w:tc>
          <w:tcPr>
            <w:tcW w:w="531" w:type="dxa"/>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基础</w:t>
            </w:r>
          </w:p>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能力</w:t>
            </w:r>
          </w:p>
        </w:tc>
        <w:tc>
          <w:tcPr>
            <w:tcW w:w="1350" w:type="dxa"/>
            <w:vAlign w:val="center"/>
          </w:tcPr>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汽车机械基础、汽车零部件识图、汽车构造、汽车文化、汽车维护保养</w:t>
            </w:r>
          </w:p>
        </w:tc>
        <w:tc>
          <w:tcPr>
            <w:tcW w:w="913" w:type="dxa"/>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能够完成对常见</w:t>
            </w:r>
            <w:r>
              <w:rPr>
                <w:rFonts w:hint="eastAsia" w:ascii="宋体" w:hAnsi="宋体" w:eastAsia="宋体" w:cs="宋体"/>
                <w:sz w:val="18"/>
                <w:szCs w:val="18"/>
                <w:lang w:val="zh-CN"/>
              </w:rPr>
              <w:t>汽车的基本维护保养工作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94" w:type="dxa"/>
            <w:vAlign w:val="center"/>
          </w:tcPr>
          <w:p>
            <w:pPr>
              <w:adjustRightInd w:val="0"/>
              <w:snapToGrid w:val="0"/>
              <w:spacing w:line="380" w:lineRule="exact"/>
              <w:jc w:val="center"/>
              <w:rPr>
                <w:rFonts w:hint="eastAsia" w:ascii="宋体" w:hAnsi="宋体" w:eastAsia="宋体" w:cs="宋体"/>
                <w:bCs/>
                <w:sz w:val="18"/>
                <w:szCs w:val="18"/>
              </w:rPr>
            </w:pPr>
            <w:r>
              <w:rPr>
                <w:rFonts w:hint="eastAsia" w:ascii="宋体" w:hAnsi="宋体" w:eastAsia="宋体" w:cs="宋体"/>
                <w:sz w:val="18"/>
                <w:szCs w:val="18"/>
              </w:rPr>
              <w:t>钣金喷涂岗位</w:t>
            </w:r>
          </w:p>
        </w:tc>
        <w:tc>
          <w:tcPr>
            <w:tcW w:w="1527" w:type="dxa"/>
            <w:vAlign w:val="center"/>
          </w:tcPr>
          <w:p>
            <w:pPr>
              <w:widowControl/>
              <w:shd w:val="clear" w:color="auto" w:fill="FFFFFF"/>
              <w:jc w:val="center"/>
              <w:textAlignment w:val="baseline"/>
              <w:rPr>
                <w:rFonts w:hint="eastAsia" w:ascii="宋体" w:hAnsi="宋体" w:eastAsia="宋体" w:cs="宋体"/>
                <w:sz w:val="18"/>
                <w:szCs w:val="18"/>
              </w:rPr>
            </w:pPr>
            <w:r>
              <w:rPr>
                <w:rFonts w:hint="eastAsia" w:ascii="宋体" w:hAnsi="宋体" w:eastAsia="宋体" w:cs="宋体"/>
                <w:sz w:val="18"/>
                <w:szCs w:val="18"/>
              </w:rPr>
              <w:t>汽车喷漆工艺、钣金维修工艺，特殊设备应用知识、属焊接及其他技术知识、漆面养护和处理各种漆面问题；</w:t>
            </w:r>
          </w:p>
        </w:tc>
        <w:tc>
          <w:tcPr>
            <w:tcW w:w="1718" w:type="dxa"/>
            <w:vAlign w:val="center"/>
          </w:tcPr>
          <w:p>
            <w:pPr>
              <w:widowControl/>
              <w:adjustRightInd w:val="0"/>
              <w:snapToGrid w:val="0"/>
              <w:spacing w:line="380" w:lineRule="exact"/>
              <w:jc w:val="center"/>
              <w:rPr>
                <w:rFonts w:hint="eastAsia" w:ascii="宋体" w:hAnsi="宋体" w:eastAsia="宋体" w:cs="宋体"/>
                <w:kern w:val="0"/>
                <w:sz w:val="18"/>
                <w:szCs w:val="18"/>
              </w:rPr>
            </w:pPr>
            <w:r>
              <w:rPr>
                <w:rFonts w:hint="eastAsia" w:ascii="宋体" w:hAnsi="宋体" w:eastAsia="宋体" w:cs="宋体"/>
                <w:sz w:val="18"/>
                <w:szCs w:val="18"/>
              </w:rPr>
              <w:t>汽车油漆及辅料的认识、汽车表面处理作业、汽车喷漆作业、氩弧焊作业、二氧化碳气体保护焊作业、汽车调漆作业等</w:t>
            </w:r>
          </w:p>
        </w:tc>
        <w:tc>
          <w:tcPr>
            <w:tcW w:w="3137" w:type="dxa"/>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zh-CN"/>
              </w:rPr>
              <w:t>熟悉车身材料、车身结构及维护工艺。</w:t>
            </w:r>
            <w:r>
              <w:rPr>
                <w:rFonts w:hint="eastAsia" w:ascii="宋体" w:hAnsi="宋体" w:eastAsia="宋体" w:cs="宋体"/>
                <w:sz w:val="18"/>
                <w:szCs w:val="18"/>
              </w:rPr>
              <w:t>2.</w:t>
            </w:r>
            <w:r>
              <w:rPr>
                <w:rFonts w:hint="eastAsia" w:ascii="宋体" w:hAnsi="宋体" w:eastAsia="宋体" w:cs="宋体"/>
                <w:sz w:val="18"/>
                <w:szCs w:val="18"/>
                <w:lang w:val="zh-CN"/>
              </w:rPr>
              <w:t>掌握车身主要零部件的检测、矫正及修复方法。</w:t>
            </w:r>
            <w:r>
              <w:rPr>
                <w:rFonts w:hint="eastAsia" w:ascii="宋体" w:hAnsi="宋体" w:eastAsia="宋体" w:cs="宋体"/>
                <w:sz w:val="18"/>
                <w:szCs w:val="18"/>
              </w:rPr>
              <w:t>3.</w:t>
            </w:r>
            <w:r>
              <w:rPr>
                <w:rFonts w:hint="eastAsia" w:ascii="宋体" w:hAnsi="宋体" w:eastAsia="宋体" w:cs="宋体"/>
                <w:sz w:val="18"/>
                <w:szCs w:val="18"/>
                <w:lang w:val="zh-CN"/>
              </w:rPr>
              <w:t>熟悉车身主要零部件的安装、装配技术条件及注意事项。</w:t>
            </w:r>
            <w:r>
              <w:rPr>
                <w:rFonts w:hint="eastAsia" w:ascii="宋体" w:hAnsi="宋体" w:eastAsia="宋体" w:cs="宋体"/>
                <w:sz w:val="18"/>
                <w:szCs w:val="18"/>
              </w:rPr>
              <w:t>4.</w:t>
            </w:r>
            <w:r>
              <w:rPr>
                <w:rFonts w:hint="eastAsia" w:ascii="宋体" w:hAnsi="宋体" w:eastAsia="宋体" w:cs="宋体"/>
                <w:sz w:val="18"/>
                <w:szCs w:val="18"/>
                <w:lang w:val="zh-CN"/>
              </w:rPr>
              <w:t>掌握汽车漆面修复的基本方法。</w:t>
            </w:r>
            <w:r>
              <w:rPr>
                <w:rFonts w:hint="eastAsia" w:ascii="宋体" w:hAnsi="宋体" w:eastAsia="宋体" w:cs="宋体"/>
                <w:sz w:val="18"/>
                <w:szCs w:val="18"/>
              </w:rPr>
              <w:t>5.</w:t>
            </w:r>
            <w:r>
              <w:rPr>
                <w:rFonts w:hint="eastAsia" w:ascii="宋体" w:hAnsi="宋体" w:eastAsia="宋体" w:cs="宋体"/>
                <w:sz w:val="18"/>
                <w:szCs w:val="18"/>
                <w:lang w:val="zh-CN"/>
              </w:rPr>
              <w:t>掌握汽车钣金、焊接、涂装的基本工艺。</w:t>
            </w:r>
          </w:p>
        </w:tc>
        <w:tc>
          <w:tcPr>
            <w:tcW w:w="531" w:type="dxa"/>
            <w:vMerge w:val="restart"/>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专业</w:t>
            </w:r>
          </w:p>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核心</w:t>
            </w:r>
          </w:p>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能力</w:t>
            </w:r>
          </w:p>
        </w:tc>
        <w:tc>
          <w:tcPr>
            <w:tcW w:w="1350" w:type="dxa"/>
            <w:vAlign w:val="center"/>
          </w:tcPr>
          <w:p>
            <w:pPr>
              <w:tabs>
                <w:tab w:val="left" w:pos="420"/>
              </w:tabs>
              <w:spacing w:line="320" w:lineRule="exact"/>
              <w:jc w:val="center"/>
              <w:rPr>
                <w:rFonts w:hint="eastAsia" w:ascii="宋体" w:hAnsi="宋体" w:eastAsia="宋体" w:cs="宋体"/>
                <w:sz w:val="18"/>
                <w:szCs w:val="18"/>
                <w:lang w:val="zh-CN"/>
              </w:rPr>
            </w:pPr>
          </w:p>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汽车构造、汽车钣金技术、汽车喷涂技术</w:t>
            </w:r>
          </w:p>
        </w:tc>
        <w:tc>
          <w:tcPr>
            <w:tcW w:w="913" w:type="dxa"/>
            <w:vAlign w:val="center"/>
          </w:tcPr>
          <w:p>
            <w:pPr>
              <w:tabs>
                <w:tab w:val="left" w:pos="420"/>
              </w:tabs>
              <w:spacing w:line="320" w:lineRule="exact"/>
              <w:jc w:val="center"/>
              <w:rPr>
                <w:rFonts w:hint="eastAsia" w:ascii="宋体" w:hAnsi="宋体" w:eastAsia="宋体" w:cs="宋体"/>
                <w:sz w:val="18"/>
                <w:szCs w:val="18"/>
                <w:lang w:val="zh-CN"/>
              </w:rPr>
            </w:pPr>
          </w:p>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能够完成汽车单个板面的钣金喷涂</w:t>
            </w:r>
            <w:r>
              <w:rPr>
                <w:rFonts w:hint="eastAsia" w:ascii="宋体" w:hAnsi="宋体" w:eastAsia="宋体" w:cs="宋体"/>
                <w:sz w:val="18"/>
                <w:szCs w:val="18"/>
                <w:lang w:val="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694" w:type="dxa"/>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机械维修岗</w:t>
            </w:r>
          </w:p>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位</w:t>
            </w:r>
          </w:p>
        </w:tc>
        <w:tc>
          <w:tcPr>
            <w:tcW w:w="1527" w:type="dxa"/>
            <w:vAlign w:val="center"/>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汽车发动机机械维修、汽车变速器机械维修、汽车制动系统机械维修、汽车转向悬架系统机械维修等</w:t>
            </w:r>
          </w:p>
        </w:tc>
        <w:tc>
          <w:tcPr>
            <w:tcW w:w="1718" w:type="dxa"/>
            <w:vAlign w:val="center"/>
          </w:tcPr>
          <w:p>
            <w:pPr>
              <w:widowControl/>
              <w:adjustRightInd w:val="0"/>
              <w:snapToGrid w:val="0"/>
              <w:spacing w:line="380" w:lineRule="exact"/>
              <w:jc w:val="center"/>
              <w:rPr>
                <w:rFonts w:hint="eastAsia" w:ascii="宋体" w:hAnsi="宋体" w:eastAsia="宋体" w:cs="宋体"/>
                <w:color w:val="000000"/>
                <w:kern w:val="0"/>
                <w:sz w:val="18"/>
                <w:szCs w:val="18"/>
              </w:rPr>
            </w:pPr>
            <w:r>
              <w:rPr>
                <w:rFonts w:hint="eastAsia" w:ascii="宋体" w:hAnsi="宋体" w:eastAsia="宋体" w:cs="宋体"/>
                <w:sz w:val="18"/>
                <w:szCs w:val="18"/>
              </w:rPr>
              <w:t>发动机检修、汽车变速器检修、汽车制动系统检修、汽车转向系统检修、汽车悬架系统检修</w:t>
            </w:r>
          </w:p>
        </w:tc>
        <w:tc>
          <w:tcPr>
            <w:tcW w:w="3137" w:type="dxa"/>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1.能进行常见机械维修工具的的选择和使用；2.能对常见的的发动机进行拆装维修；3.能对常见的AT、CVT、双离合变速器进行拆装维修；4.能对不同的制动系统进行拆装维修；5.能对不同的转向悬架拆装维修。</w:t>
            </w:r>
          </w:p>
          <w:p>
            <w:pPr>
              <w:adjustRightInd w:val="0"/>
              <w:snapToGrid w:val="0"/>
              <w:spacing w:line="380" w:lineRule="exact"/>
              <w:jc w:val="center"/>
              <w:rPr>
                <w:rFonts w:hint="eastAsia" w:ascii="宋体" w:hAnsi="宋体" w:eastAsia="宋体" w:cs="宋体"/>
                <w:sz w:val="18"/>
                <w:szCs w:val="18"/>
              </w:rPr>
            </w:pPr>
          </w:p>
        </w:tc>
        <w:tc>
          <w:tcPr>
            <w:tcW w:w="531" w:type="dxa"/>
            <w:vMerge w:val="continue"/>
            <w:vAlign w:val="center"/>
          </w:tcPr>
          <w:p>
            <w:pPr>
              <w:adjustRightInd w:val="0"/>
              <w:snapToGrid w:val="0"/>
              <w:spacing w:line="380" w:lineRule="exact"/>
              <w:jc w:val="center"/>
              <w:rPr>
                <w:rFonts w:hint="eastAsia" w:ascii="宋体" w:hAnsi="宋体" w:eastAsia="宋体" w:cs="宋体"/>
                <w:sz w:val="18"/>
                <w:szCs w:val="18"/>
              </w:rPr>
            </w:pPr>
          </w:p>
        </w:tc>
        <w:tc>
          <w:tcPr>
            <w:tcW w:w="1350" w:type="dxa"/>
            <w:vAlign w:val="center"/>
          </w:tcPr>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汽车文化、汽车构造、汽车维护保养、汽车检测技术</w:t>
            </w:r>
          </w:p>
        </w:tc>
        <w:tc>
          <w:tcPr>
            <w:tcW w:w="913" w:type="dxa"/>
            <w:vAlign w:val="center"/>
          </w:tcPr>
          <w:p>
            <w:pPr>
              <w:tabs>
                <w:tab w:val="left" w:pos="420"/>
              </w:tabs>
              <w:spacing w:line="320" w:lineRule="exact"/>
              <w:jc w:val="center"/>
              <w:rPr>
                <w:rFonts w:hint="eastAsia" w:ascii="宋体" w:hAnsi="宋体" w:eastAsia="宋体" w:cs="宋体"/>
                <w:sz w:val="18"/>
                <w:szCs w:val="18"/>
                <w:lang w:val="zh-CN"/>
              </w:rPr>
            </w:pPr>
          </w:p>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汽车发动机、底盘、制动、悬架常见机械故障排查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94" w:type="dxa"/>
            <w:vAlign w:val="center"/>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电器维修岗位</w:t>
            </w:r>
          </w:p>
        </w:tc>
        <w:tc>
          <w:tcPr>
            <w:tcW w:w="1527" w:type="dxa"/>
            <w:vAlign w:val="center"/>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汽车发动机电器维修、汽车灯光系统电器维修、汽车制动系统、汽车悬架车身稳定系统电器维修等</w:t>
            </w:r>
          </w:p>
        </w:tc>
        <w:tc>
          <w:tcPr>
            <w:tcW w:w="1718" w:type="dxa"/>
            <w:vAlign w:val="center"/>
          </w:tcPr>
          <w:p>
            <w:pPr>
              <w:widowControl/>
              <w:adjustRightInd w:val="0"/>
              <w:snapToGrid w:val="0"/>
              <w:spacing w:line="380" w:lineRule="exact"/>
              <w:jc w:val="center"/>
              <w:rPr>
                <w:rFonts w:hint="eastAsia" w:ascii="宋体" w:hAnsi="宋体" w:eastAsia="宋体" w:cs="宋体"/>
                <w:color w:val="000000"/>
                <w:kern w:val="0"/>
                <w:sz w:val="18"/>
                <w:szCs w:val="18"/>
              </w:rPr>
            </w:pPr>
            <w:r>
              <w:rPr>
                <w:rFonts w:hint="eastAsia" w:ascii="宋体" w:hAnsi="宋体" w:eastAsia="宋体" w:cs="宋体"/>
                <w:sz w:val="18"/>
                <w:szCs w:val="18"/>
              </w:rPr>
              <w:t>汽车充电系统检修、汽车启动系统检修、汽车点火系统检修、汽车照明系统检修、汽车ABS系统检修、汽车ESP系统检修</w:t>
            </w:r>
          </w:p>
        </w:tc>
        <w:tc>
          <w:tcPr>
            <w:tcW w:w="3137" w:type="dxa"/>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1.能进行常见电器维修工具的的选择和使用；2.能对常见的的发动机电气系统进行拆装维修；3.能对常见的汽车外部灯光照明系统拆装维修；4.能对汽车ABS系统检、ESP系统检修拆装维修。</w:t>
            </w:r>
          </w:p>
        </w:tc>
        <w:tc>
          <w:tcPr>
            <w:tcW w:w="531" w:type="dxa"/>
            <w:vMerge w:val="continue"/>
            <w:vAlign w:val="center"/>
          </w:tcPr>
          <w:p>
            <w:pPr>
              <w:adjustRightInd w:val="0"/>
              <w:snapToGrid w:val="0"/>
              <w:spacing w:line="380" w:lineRule="exact"/>
              <w:ind w:left="-107" w:leftChars="-51"/>
              <w:jc w:val="center"/>
              <w:rPr>
                <w:rFonts w:hint="eastAsia" w:ascii="宋体" w:hAnsi="宋体" w:eastAsia="宋体" w:cs="宋体"/>
                <w:sz w:val="18"/>
                <w:szCs w:val="18"/>
              </w:rPr>
            </w:pPr>
          </w:p>
        </w:tc>
        <w:tc>
          <w:tcPr>
            <w:tcW w:w="1350" w:type="dxa"/>
            <w:vAlign w:val="center"/>
          </w:tcPr>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汽车文化、汽车构造、汽车维护保养、汽车电控、汽车电器、汽车检测技术</w:t>
            </w:r>
          </w:p>
        </w:tc>
        <w:tc>
          <w:tcPr>
            <w:tcW w:w="913" w:type="dxa"/>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汽车发动机、底盘、制动、悬架常见电器故障排查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营销岗位</w:t>
            </w:r>
          </w:p>
        </w:tc>
        <w:tc>
          <w:tcPr>
            <w:tcW w:w="1527" w:type="dxa"/>
            <w:vAlign w:val="center"/>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lang w:val="zh-CN"/>
              </w:rPr>
              <w:t>能熟练分析环境对汽车市场营销的营销；能熟练执行汽车营销策略；能较为熟练策划汽车市场活动；能开发潜在目标客户。</w:t>
            </w:r>
          </w:p>
        </w:tc>
        <w:tc>
          <w:tcPr>
            <w:tcW w:w="1718" w:type="dxa"/>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调研</w:t>
            </w:r>
            <w:r>
              <w:rPr>
                <w:rFonts w:hint="eastAsia" w:ascii="宋体" w:hAnsi="宋体" w:eastAsia="宋体" w:cs="宋体"/>
                <w:sz w:val="18"/>
                <w:szCs w:val="18"/>
                <w:lang w:val="zh-CN"/>
              </w:rPr>
              <w:t>环境对汽车市场营销的影响、分析消费者的购买需求、购车动机级购买汽车的行为、设计汽车市场调研方案、设计汽车市场调研问卷、制定汽车的品牌策略、</w:t>
            </w:r>
            <w:r>
              <w:rPr>
                <w:rFonts w:hint="eastAsia" w:ascii="宋体" w:hAnsi="宋体" w:eastAsia="宋体" w:cs="宋体"/>
                <w:sz w:val="18"/>
                <w:szCs w:val="18"/>
              </w:rPr>
              <w:t>.</w:t>
            </w:r>
            <w:r>
              <w:rPr>
                <w:rFonts w:hint="eastAsia" w:ascii="宋体" w:hAnsi="宋体" w:eastAsia="宋体" w:cs="宋体"/>
                <w:sz w:val="18"/>
                <w:szCs w:val="18"/>
                <w:lang w:val="zh-CN"/>
              </w:rPr>
              <w:t>策划汽车制造商市场活动。</w:t>
            </w:r>
          </w:p>
        </w:tc>
        <w:tc>
          <w:tcPr>
            <w:tcW w:w="3137" w:type="dxa"/>
            <w:vAlign w:val="center"/>
          </w:tcPr>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1.</w:t>
            </w:r>
            <w:r>
              <w:rPr>
                <w:rFonts w:hint="eastAsia" w:ascii="宋体" w:hAnsi="宋体" w:eastAsia="宋体" w:cs="宋体"/>
                <w:sz w:val="18"/>
                <w:szCs w:val="18"/>
                <w:lang w:val="zh-CN"/>
              </w:rPr>
              <w:t>会熟练分析宏观及微观环境对汽车市场营销的影响。</w:t>
            </w:r>
            <w:r>
              <w:rPr>
                <w:rFonts w:hint="eastAsia" w:ascii="宋体" w:hAnsi="宋体" w:eastAsia="宋体" w:cs="宋体"/>
                <w:sz w:val="18"/>
                <w:szCs w:val="18"/>
              </w:rPr>
              <w:t>2.</w:t>
            </w:r>
            <w:r>
              <w:rPr>
                <w:rFonts w:hint="eastAsia" w:ascii="宋体" w:hAnsi="宋体" w:eastAsia="宋体" w:cs="宋体"/>
                <w:sz w:val="18"/>
                <w:szCs w:val="18"/>
                <w:lang w:val="zh-CN"/>
              </w:rPr>
              <w:t>会熟练分析消费者的购买需求、购车动机级购买汽车的行为。</w:t>
            </w:r>
            <w:r>
              <w:rPr>
                <w:rFonts w:hint="eastAsia" w:ascii="宋体" w:hAnsi="宋体" w:eastAsia="宋体" w:cs="宋体"/>
                <w:sz w:val="18"/>
                <w:szCs w:val="18"/>
              </w:rPr>
              <w:t>3.</w:t>
            </w:r>
            <w:r>
              <w:rPr>
                <w:rFonts w:hint="eastAsia" w:ascii="宋体" w:hAnsi="宋体" w:eastAsia="宋体" w:cs="宋体"/>
                <w:sz w:val="18"/>
                <w:szCs w:val="18"/>
                <w:lang w:val="zh-CN"/>
              </w:rPr>
              <w:t>会熟练设计汽车市场调研方案。</w:t>
            </w:r>
            <w:r>
              <w:rPr>
                <w:rFonts w:hint="eastAsia" w:ascii="宋体" w:hAnsi="宋体" w:eastAsia="宋体" w:cs="宋体"/>
                <w:sz w:val="18"/>
                <w:szCs w:val="18"/>
              </w:rPr>
              <w:t>4.</w:t>
            </w:r>
            <w:r>
              <w:rPr>
                <w:rFonts w:hint="eastAsia" w:ascii="宋体" w:hAnsi="宋体" w:eastAsia="宋体" w:cs="宋体"/>
                <w:sz w:val="18"/>
                <w:szCs w:val="18"/>
                <w:lang w:val="zh-CN"/>
              </w:rPr>
              <w:t>会熟练设计汽车市场调研问卷。</w:t>
            </w:r>
            <w:r>
              <w:rPr>
                <w:rFonts w:hint="eastAsia" w:ascii="宋体" w:hAnsi="宋体" w:eastAsia="宋体" w:cs="宋体"/>
                <w:sz w:val="18"/>
                <w:szCs w:val="18"/>
              </w:rPr>
              <w:t>5.</w:t>
            </w:r>
            <w:r>
              <w:rPr>
                <w:rFonts w:hint="eastAsia" w:ascii="宋体" w:hAnsi="宋体" w:eastAsia="宋体" w:cs="宋体"/>
                <w:sz w:val="18"/>
                <w:szCs w:val="18"/>
                <w:lang w:val="zh-CN"/>
              </w:rPr>
              <w:t>会较为熟练制定汽车的品牌策略、产品策略和产品价格策略。</w:t>
            </w:r>
            <w:r>
              <w:rPr>
                <w:rFonts w:hint="eastAsia" w:ascii="宋体" w:hAnsi="宋体" w:eastAsia="宋体" w:cs="宋体"/>
                <w:sz w:val="18"/>
                <w:szCs w:val="18"/>
              </w:rPr>
              <w:t>6.</w:t>
            </w:r>
            <w:r>
              <w:rPr>
                <w:rFonts w:hint="eastAsia" w:ascii="宋体" w:hAnsi="宋体" w:eastAsia="宋体" w:cs="宋体"/>
                <w:sz w:val="18"/>
                <w:szCs w:val="18"/>
                <w:lang w:val="zh-CN"/>
              </w:rPr>
              <w:t>会较为熟练策划汽车制造商、经销商的市场活动。</w:t>
            </w:r>
          </w:p>
          <w:p>
            <w:pPr>
              <w:adjustRightInd w:val="0"/>
              <w:snapToGrid w:val="0"/>
              <w:spacing w:line="380" w:lineRule="exact"/>
              <w:jc w:val="center"/>
              <w:rPr>
                <w:rFonts w:hint="eastAsia" w:ascii="宋体" w:hAnsi="宋体" w:eastAsia="宋体" w:cs="宋体"/>
                <w:sz w:val="18"/>
                <w:szCs w:val="18"/>
              </w:rPr>
            </w:pPr>
          </w:p>
        </w:tc>
        <w:tc>
          <w:tcPr>
            <w:tcW w:w="531" w:type="dxa"/>
            <w:vMerge w:val="restart"/>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专</w:t>
            </w:r>
          </w:p>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业</w:t>
            </w:r>
          </w:p>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拓</w:t>
            </w:r>
          </w:p>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展</w:t>
            </w:r>
          </w:p>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能</w:t>
            </w:r>
          </w:p>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力</w:t>
            </w:r>
          </w:p>
        </w:tc>
        <w:tc>
          <w:tcPr>
            <w:tcW w:w="1350" w:type="dxa"/>
            <w:vAlign w:val="center"/>
          </w:tcPr>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汽车机械基础、汽车零部件识图、汽车构造汽车文化、汽车构造、汽车营销</w:t>
            </w:r>
          </w:p>
        </w:tc>
        <w:tc>
          <w:tcPr>
            <w:tcW w:w="913" w:type="dxa"/>
            <w:vAlign w:val="center"/>
          </w:tcPr>
          <w:p>
            <w:pPr>
              <w:tabs>
                <w:tab w:val="left" w:pos="420"/>
              </w:tabs>
              <w:spacing w:line="320" w:lineRule="exact"/>
              <w:jc w:val="center"/>
              <w:rPr>
                <w:rFonts w:hint="eastAsia" w:ascii="宋体" w:hAnsi="宋体" w:eastAsia="宋体" w:cs="宋体"/>
                <w:sz w:val="18"/>
                <w:szCs w:val="18"/>
                <w:lang w:val="zh-CN"/>
              </w:rPr>
            </w:pPr>
          </w:p>
          <w:p>
            <w:pPr>
              <w:tabs>
                <w:tab w:val="left" w:pos="420"/>
              </w:tabs>
              <w:spacing w:line="320" w:lineRule="exact"/>
              <w:jc w:val="center"/>
              <w:rPr>
                <w:rFonts w:hint="eastAsia" w:ascii="宋体" w:hAnsi="宋体" w:eastAsia="宋体" w:cs="宋体"/>
                <w:sz w:val="18"/>
                <w:szCs w:val="18"/>
                <w:lang w:val="zh-CN"/>
              </w:rPr>
            </w:pPr>
          </w:p>
          <w:p>
            <w:pPr>
              <w:tabs>
                <w:tab w:val="left" w:pos="420"/>
              </w:tabs>
              <w:spacing w:line="320" w:lineRule="exact"/>
              <w:jc w:val="center"/>
              <w:rPr>
                <w:rFonts w:hint="eastAsia" w:ascii="宋体" w:hAnsi="宋体" w:eastAsia="宋体" w:cs="宋体"/>
                <w:sz w:val="18"/>
                <w:szCs w:val="18"/>
                <w:lang w:val="zh-CN"/>
              </w:rPr>
            </w:pPr>
            <w:r>
              <w:rPr>
                <w:rFonts w:hint="eastAsia" w:ascii="宋体" w:hAnsi="宋体" w:eastAsia="宋体" w:cs="宋体"/>
                <w:sz w:val="18"/>
                <w:szCs w:val="18"/>
              </w:rPr>
              <w:t>汽车营销流程、汽车常见的营销策划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94" w:type="dxa"/>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保险理赔岗</w:t>
            </w:r>
          </w:p>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位</w:t>
            </w:r>
          </w:p>
          <w:p>
            <w:pPr>
              <w:adjustRightInd w:val="0"/>
              <w:snapToGrid w:val="0"/>
              <w:spacing w:line="380" w:lineRule="exact"/>
              <w:jc w:val="center"/>
              <w:rPr>
                <w:rFonts w:hint="eastAsia" w:ascii="宋体" w:hAnsi="宋体" w:eastAsia="宋体" w:cs="宋体"/>
                <w:b/>
                <w:sz w:val="18"/>
                <w:szCs w:val="18"/>
              </w:rPr>
            </w:pPr>
          </w:p>
        </w:tc>
        <w:tc>
          <w:tcPr>
            <w:tcW w:w="1527" w:type="dxa"/>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lang w:val="zh-CN"/>
              </w:rPr>
              <w:t>现行的主要汽车保险类型、保险的原则、汽车保险条款、汽车承保、理赔、现场勘探的程序与方法、事故车辆损伤评定的依据</w:t>
            </w:r>
          </w:p>
        </w:tc>
        <w:tc>
          <w:tcPr>
            <w:tcW w:w="1718" w:type="dxa"/>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汽车车损险保险方案制定、汽车强制险保险方案制定、汽车第三者责任保险方案制定、汽车盗抢险保险方案制定</w:t>
            </w:r>
          </w:p>
        </w:tc>
        <w:tc>
          <w:tcPr>
            <w:tcW w:w="3137" w:type="dxa"/>
            <w:vAlign w:val="center"/>
          </w:tcPr>
          <w:p>
            <w:pPr>
              <w:tabs>
                <w:tab w:val="left" w:pos="420"/>
              </w:tabs>
              <w:spacing w:line="320" w:lineRule="exact"/>
              <w:jc w:val="left"/>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zh-CN"/>
              </w:rPr>
              <w:t>了解汽车保险风险的含义及其类型</w:t>
            </w:r>
            <w:r>
              <w:rPr>
                <w:rFonts w:hint="eastAsia" w:ascii="宋体" w:hAnsi="宋体" w:eastAsia="宋体" w:cs="宋体"/>
                <w:sz w:val="18"/>
                <w:szCs w:val="18"/>
              </w:rPr>
              <w:t>2.</w:t>
            </w:r>
            <w:r>
              <w:rPr>
                <w:rFonts w:hint="eastAsia" w:ascii="宋体" w:hAnsi="宋体" w:eastAsia="宋体" w:cs="宋体"/>
                <w:sz w:val="18"/>
                <w:szCs w:val="18"/>
                <w:lang w:val="zh-CN"/>
              </w:rPr>
              <w:t>了解汽车保险的起源和发展</w:t>
            </w:r>
            <w:r>
              <w:rPr>
                <w:rFonts w:hint="eastAsia" w:ascii="宋体" w:hAnsi="宋体" w:eastAsia="宋体" w:cs="宋体"/>
                <w:sz w:val="18"/>
                <w:szCs w:val="18"/>
              </w:rPr>
              <w:t>3.</w:t>
            </w:r>
            <w:r>
              <w:rPr>
                <w:rFonts w:hint="eastAsia" w:ascii="宋体" w:hAnsi="宋体" w:eastAsia="宋体" w:cs="宋体"/>
                <w:sz w:val="18"/>
                <w:szCs w:val="18"/>
                <w:lang w:val="zh-CN"/>
              </w:rPr>
              <w:t>了解汽车理赔业务流程、现场勘探的程序与方法</w:t>
            </w:r>
            <w:r>
              <w:rPr>
                <w:rFonts w:hint="eastAsia" w:ascii="宋体" w:hAnsi="宋体" w:eastAsia="宋体" w:cs="宋体"/>
                <w:sz w:val="18"/>
                <w:szCs w:val="18"/>
              </w:rPr>
              <w:t>4.</w:t>
            </w:r>
            <w:r>
              <w:rPr>
                <w:rFonts w:hint="eastAsia" w:ascii="宋体" w:hAnsi="宋体" w:eastAsia="宋体" w:cs="宋体"/>
                <w:sz w:val="18"/>
                <w:szCs w:val="18"/>
                <w:lang w:val="zh-CN"/>
              </w:rPr>
              <w:t>了解机动车交通事故责任强制保险条款、机动车第三者责任险的含义了解事故车辆的定损原则及维</w:t>
            </w:r>
            <w:r>
              <w:rPr>
                <w:rFonts w:hint="eastAsia" w:ascii="宋体" w:hAnsi="宋体" w:eastAsia="宋体" w:cs="宋体"/>
                <w:sz w:val="18"/>
                <w:szCs w:val="18"/>
              </w:rPr>
              <w:t>5.</w:t>
            </w:r>
            <w:r>
              <w:rPr>
                <w:rFonts w:hint="eastAsia" w:ascii="宋体" w:hAnsi="宋体" w:eastAsia="宋体" w:cs="宋体"/>
                <w:sz w:val="18"/>
                <w:szCs w:val="18"/>
                <w:lang w:val="zh-CN"/>
              </w:rPr>
              <w:t>修费用的评估方法</w:t>
            </w:r>
          </w:p>
        </w:tc>
        <w:tc>
          <w:tcPr>
            <w:tcW w:w="531" w:type="dxa"/>
            <w:vMerge w:val="continue"/>
            <w:vAlign w:val="center"/>
          </w:tcPr>
          <w:p>
            <w:pPr>
              <w:tabs>
                <w:tab w:val="left" w:pos="420"/>
              </w:tabs>
              <w:spacing w:line="320" w:lineRule="exact"/>
              <w:jc w:val="center"/>
              <w:rPr>
                <w:rFonts w:hint="eastAsia" w:ascii="宋体" w:hAnsi="宋体" w:eastAsia="宋体" w:cs="宋体"/>
                <w:sz w:val="18"/>
                <w:szCs w:val="18"/>
              </w:rPr>
            </w:pPr>
          </w:p>
        </w:tc>
        <w:tc>
          <w:tcPr>
            <w:tcW w:w="1350" w:type="dxa"/>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汽车机械基础、汽车零部件识图、汽车构造汽车文化、汽车构造、汽车保险与理赔</w:t>
            </w:r>
          </w:p>
        </w:tc>
        <w:tc>
          <w:tcPr>
            <w:tcW w:w="913" w:type="dxa"/>
            <w:vAlign w:val="center"/>
          </w:tcPr>
          <w:p>
            <w:pPr>
              <w:tabs>
                <w:tab w:val="left" w:pos="420"/>
              </w:tabs>
              <w:spacing w:line="320" w:lineRule="exact"/>
              <w:jc w:val="center"/>
              <w:rPr>
                <w:rFonts w:hint="eastAsia" w:ascii="宋体" w:hAnsi="宋体" w:eastAsia="宋体" w:cs="宋体"/>
                <w:sz w:val="18"/>
                <w:szCs w:val="18"/>
              </w:rPr>
            </w:pPr>
            <w:r>
              <w:rPr>
                <w:rFonts w:hint="eastAsia" w:ascii="宋体" w:hAnsi="宋体" w:eastAsia="宋体" w:cs="宋体"/>
                <w:sz w:val="18"/>
                <w:szCs w:val="18"/>
              </w:rPr>
              <w:t>汽车常见保险方案制定</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黑体" w:hAnsi="宋体" w:eastAsia="黑体"/>
          <w:b/>
          <w:bCs/>
          <w:sz w:val="28"/>
          <w:szCs w:val="28"/>
        </w:rPr>
      </w:pPr>
      <w:r>
        <w:rPr>
          <w:rFonts w:hint="eastAsia" w:ascii="黑体" w:eastAsia="黑体"/>
          <w:b/>
          <w:sz w:val="28"/>
          <w:szCs w:val="28"/>
        </w:rPr>
        <w:t>六、毕业标准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textAlignment w:val="auto"/>
        <w:rPr>
          <w:rFonts w:hint="eastAsia" w:ascii="黑体" w:hAnsi="黑体" w:eastAsia="黑体" w:cs="黑体"/>
          <w:sz w:val="28"/>
          <w:szCs w:val="28"/>
        </w:rPr>
      </w:pPr>
      <w:r>
        <w:rPr>
          <w:rFonts w:hint="eastAsia" w:ascii="黑体" w:hAnsi="黑体" w:eastAsia="黑体" w:cs="黑体"/>
          <w:sz w:val="28"/>
          <w:szCs w:val="28"/>
        </w:rPr>
        <w:t>（一）学分要求</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kern w:val="0"/>
          <w:sz w:val="28"/>
          <w:szCs w:val="28"/>
        </w:rPr>
        <w:t>本专业全部课程毕业时需修满共计260学分，</w:t>
      </w:r>
      <w:r>
        <w:rPr>
          <w:rFonts w:hint="eastAsia" w:ascii="宋体" w:hAnsi="宋体" w:cs="宋体" w:eastAsiaTheme="minorEastAsia"/>
          <w:kern w:val="0"/>
          <w:sz w:val="28"/>
          <w:szCs w:val="28"/>
          <w:lang w:eastAsia="zh-CN"/>
        </w:rPr>
        <w:t>其中劳动教育</w:t>
      </w:r>
      <w:r>
        <w:rPr>
          <w:rFonts w:hint="eastAsia" w:ascii="宋体" w:hAnsi="宋体" w:cs="宋体" w:eastAsiaTheme="minorEastAsia"/>
          <w:kern w:val="0"/>
          <w:sz w:val="28"/>
          <w:szCs w:val="28"/>
          <w:lang w:val="en-US" w:eastAsia="zh-CN"/>
        </w:rPr>
        <w:t>2学分、美育教育2学分，</w:t>
      </w:r>
      <w:r>
        <w:rPr>
          <w:rFonts w:hint="eastAsia" w:ascii="宋体" w:hAnsi="宋体" w:cs="宋体" w:eastAsiaTheme="minorEastAsia"/>
          <w:kern w:val="0"/>
          <w:sz w:val="28"/>
          <w:szCs w:val="28"/>
        </w:rPr>
        <w:t>达不到者不得毕业；</w:t>
      </w:r>
      <w:r>
        <w:rPr>
          <w:rFonts w:hint="eastAsia" w:ascii="宋体" w:hAnsi="宋体" w:cs="宋体" w:eastAsiaTheme="minorEastAsia"/>
          <w:sz w:val="28"/>
          <w:szCs w:val="28"/>
        </w:rPr>
        <w:t>专业核心课程需修满56学分；</w:t>
      </w:r>
      <w:r>
        <w:rPr>
          <w:rFonts w:hint="eastAsia" w:ascii="宋体" w:hAnsi="宋体" w:cs="宋体"/>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spacing w:beforeLines="50" w:afterLines="50" w:line="460" w:lineRule="exact"/>
        <w:ind w:firstLine="358" w:firstLineChars="128"/>
        <w:textAlignment w:val="auto"/>
        <w:rPr>
          <w:rFonts w:hint="eastAsia" w:ascii="黑体" w:hAnsi="黑体" w:eastAsia="黑体" w:cs="黑体"/>
          <w:sz w:val="28"/>
          <w:szCs w:val="28"/>
        </w:rPr>
      </w:pPr>
      <w:r>
        <w:rPr>
          <w:rFonts w:hint="eastAsia" w:ascii="黑体" w:hAnsi="黑体" w:eastAsia="黑体" w:cs="黑体"/>
          <w:sz w:val="28"/>
          <w:szCs w:val="28"/>
        </w:rPr>
        <w:t>（二）证书要求</w:t>
      </w:r>
    </w:p>
    <w:tbl>
      <w:tblPr>
        <w:tblStyle w:val="3"/>
        <w:tblpPr w:leftFromText="180" w:rightFromText="180" w:vertAnchor="text" w:horzAnchor="page" w:tblpXSpec="center" w:tblpY="113"/>
        <w:tblOverlap w:val="never"/>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1"/>
        <w:gridCol w:w="2363"/>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1" w:type="dxa"/>
            <w:vAlign w:val="center"/>
          </w:tcPr>
          <w:p>
            <w:pPr>
              <w:jc w:val="center"/>
              <w:rPr>
                <w:rFonts w:ascii="宋体" w:hAnsi="宋体" w:eastAsiaTheme="minorEastAsia"/>
                <w:sz w:val="24"/>
                <w:szCs w:val="24"/>
              </w:rPr>
            </w:pPr>
            <w:r>
              <w:rPr>
                <w:rFonts w:hint="eastAsia" w:ascii="宋体" w:hAnsi="宋体" w:eastAsiaTheme="minorEastAsia"/>
                <w:sz w:val="24"/>
                <w:szCs w:val="24"/>
              </w:rPr>
              <w:t>证书名称</w:t>
            </w:r>
          </w:p>
        </w:tc>
        <w:tc>
          <w:tcPr>
            <w:tcW w:w="2363" w:type="dxa"/>
            <w:vAlign w:val="center"/>
          </w:tcPr>
          <w:p>
            <w:pPr>
              <w:jc w:val="center"/>
              <w:rPr>
                <w:rFonts w:ascii="宋体" w:hAnsi="宋体" w:eastAsiaTheme="minorEastAsia"/>
                <w:sz w:val="24"/>
                <w:szCs w:val="24"/>
              </w:rPr>
            </w:pPr>
            <w:r>
              <w:rPr>
                <w:rFonts w:hint="eastAsia" w:ascii="宋体" w:hAnsi="宋体" w:eastAsiaTheme="minorEastAsia"/>
                <w:sz w:val="24"/>
                <w:szCs w:val="24"/>
              </w:rPr>
              <w:t>证书要求</w:t>
            </w:r>
          </w:p>
        </w:tc>
        <w:tc>
          <w:tcPr>
            <w:tcW w:w="2155" w:type="dxa"/>
            <w:vAlign w:val="center"/>
          </w:tcPr>
          <w:p>
            <w:pPr>
              <w:jc w:val="center"/>
              <w:rPr>
                <w:rFonts w:ascii="宋体" w:hAnsi="宋体" w:eastAsiaTheme="minorEastAsia"/>
                <w:sz w:val="24"/>
                <w:szCs w:val="24"/>
              </w:rPr>
            </w:pPr>
            <w:r>
              <w:rPr>
                <w:rFonts w:hint="eastAsia" w:ascii="宋体" w:hAnsi="宋体" w:eastAsiaTheme="minorEastAsia"/>
                <w:sz w:val="24"/>
                <w:szCs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1" w:type="dxa"/>
            <w:vAlign w:val="center"/>
          </w:tcPr>
          <w:p>
            <w:pPr>
              <w:jc w:val="center"/>
              <w:rPr>
                <w:rFonts w:ascii="宋体" w:hAnsi="宋体" w:eastAsiaTheme="minorEastAsia"/>
                <w:sz w:val="24"/>
                <w:szCs w:val="24"/>
              </w:rPr>
            </w:pPr>
            <w:r>
              <w:rPr>
                <w:rFonts w:hint="eastAsia" w:ascii="宋体" w:hAnsi="宋体" w:eastAsiaTheme="minorEastAsia"/>
                <w:sz w:val="24"/>
                <w:szCs w:val="24"/>
              </w:rPr>
              <w:t>汽车维修工（中级）</w:t>
            </w:r>
          </w:p>
        </w:tc>
        <w:tc>
          <w:tcPr>
            <w:tcW w:w="2363" w:type="dxa"/>
            <w:vAlign w:val="center"/>
          </w:tcPr>
          <w:p>
            <w:pPr>
              <w:jc w:val="center"/>
              <w:rPr>
                <w:rFonts w:ascii="宋体" w:hAnsi="宋体" w:eastAsiaTheme="minorEastAsia"/>
                <w:sz w:val="24"/>
                <w:szCs w:val="24"/>
              </w:rPr>
            </w:pPr>
            <w:r>
              <w:rPr>
                <w:rFonts w:hint="eastAsia" w:ascii="宋体" w:hAnsi="宋体" w:eastAsiaTheme="minorEastAsia"/>
                <w:sz w:val="24"/>
                <w:szCs w:val="24"/>
              </w:rPr>
              <w:t>选考</w:t>
            </w:r>
          </w:p>
        </w:tc>
        <w:tc>
          <w:tcPr>
            <w:tcW w:w="2155" w:type="dxa"/>
            <w:vAlign w:val="center"/>
          </w:tcPr>
          <w:p>
            <w:pPr>
              <w:jc w:val="center"/>
              <w:rPr>
                <w:rFonts w:ascii="宋体" w:hAnsi="宋体" w:eastAsiaTheme="minorEastAsia"/>
                <w:sz w:val="24"/>
                <w:szCs w:val="24"/>
              </w:rPr>
            </w:pPr>
            <w:r>
              <w:rPr>
                <w:rFonts w:hint="eastAsia" w:ascii="宋体" w:hAnsi="宋体" w:eastAsiaTheme="minorEastAsia"/>
                <w:sz w:val="24"/>
                <w:szCs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1" w:type="dxa"/>
            <w:vAlign w:val="center"/>
          </w:tcPr>
          <w:p>
            <w:pPr>
              <w:jc w:val="center"/>
              <w:rPr>
                <w:rFonts w:ascii="宋体" w:hAnsi="宋体" w:eastAsiaTheme="minorEastAsia"/>
                <w:sz w:val="24"/>
                <w:szCs w:val="24"/>
              </w:rPr>
            </w:pPr>
            <w:r>
              <w:rPr>
                <w:rFonts w:hint="eastAsia" w:ascii="宋体" w:hAnsi="宋体" w:eastAsiaTheme="minorEastAsia"/>
                <w:sz w:val="24"/>
                <w:szCs w:val="24"/>
              </w:rPr>
              <w:t>焊工（中级）</w:t>
            </w:r>
          </w:p>
        </w:tc>
        <w:tc>
          <w:tcPr>
            <w:tcW w:w="2363" w:type="dxa"/>
          </w:tcPr>
          <w:p>
            <w:pPr>
              <w:jc w:val="center"/>
              <w:rPr>
                <w:rFonts w:eastAsiaTheme="minorEastAsia"/>
                <w:sz w:val="24"/>
                <w:szCs w:val="24"/>
              </w:rPr>
            </w:pPr>
            <w:r>
              <w:rPr>
                <w:rFonts w:hint="eastAsia" w:ascii="宋体" w:hAnsi="宋体" w:eastAsiaTheme="minorEastAsia"/>
                <w:sz w:val="24"/>
                <w:szCs w:val="24"/>
              </w:rPr>
              <w:t>选考</w:t>
            </w:r>
          </w:p>
        </w:tc>
        <w:tc>
          <w:tcPr>
            <w:tcW w:w="2155" w:type="dxa"/>
            <w:vAlign w:val="center"/>
          </w:tcPr>
          <w:p>
            <w:pPr>
              <w:jc w:val="center"/>
              <w:rPr>
                <w:rFonts w:ascii="宋体" w:hAnsi="宋体" w:eastAsiaTheme="minorEastAsia"/>
                <w:sz w:val="24"/>
                <w:szCs w:val="24"/>
              </w:rPr>
            </w:pPr>
            <w:r>
              <w:rPr>
                <w:rFonts w:hint="eastAsia" w:ascii="宋体" w:hAnsi="宋体" w:eastAsiaTheme="minorEastAsia"/>
                <w:sz w:val="24"/>
                <w:szCs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1" w:type="dxa"/>
            <w:vAlign w:val="center"/>
          </w:tcPr>
          <w:p>
            <w:pPr>
              <w:jc w:val="center"/>
              <w:rPr>
                <w:rFonts w:ascii="宋体" w:hAnsi="宋体" w:eastAsiaTheme="minorEastAsia"/>
                <w:sz w:val="24"/>
                <w:szCs w:val="24"/>
              </w:rPr>
            </w:pPr>
            <w:r>
              <w:rPr>
                <w:rFonts w:hint="eastAsia" w:ascii="宋体" w:hAnsi="宋体" w:eastAsiaTheme="minorEastAsia"/>
                <w:sz w:val="24"/>
                <w:szCs w:val="24"/>
              </w:rPr>
              <w:t>维修电工（中级）</w:t>
            </w:r>
          </w:p>
        </w:tc>
        <w:tc>
          <w:tcPr>
            <w:tcW w:w="2363" w:type="dxa"/>
          </w:tcPr>
          <w:p>
            <w:pPr>
              <w:jc w:val="center"/>
              <w:rPr>
                <w:rFonts w:eastAsiaTheme="minorEastAsia"/>
                <w:sz w:val="24"/>
                <w:szCs w:val="24"/>
              </w:rPr>
            </w:pPr>
            <w:r>
              <w:rPr>
                <w:rFonts w:hint="eastAsia" w:ascii="宋体" w:hAnsi="宋体" w:eastAsiaTheme="minorEastAsia"/>
                <w:sz w:val="24"/>
                <w:szCs w:val="24"/>
              </w:rPr>
              <w:t>选考</w:t>
            </w:r>
          </w:p>
        </w:tc>
        <w:tc>
          <w:tcPr>
            <w:tcW w:w="2155" w:type="dxa"/>
            <w:vAlign w:val="center"/>
          </w:tcPr>
          <w:p>
            <w:pPr>
              <w:jc w:val="center"/>
              <w:rPr>
                <w:rFonts w:ascii="宋体" w:hAnsi="宋体" w:eastAsiaTheme="minorEastAsia"/>
                <w:sz w:val="24"/>
                <w:szCs w:val="24"/>
              </w:rPr>
            </w:pPr>
            <w:r>
              <w:rPr>
                <w:rFonts w:hint="eastAsia" w:ascii="宋体" w:hAnsi="宋体" w:eastAsiaTheme="minorEastAsia"/>
                <w:sz w:val="24"/>
                <w:szCs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1" w:type="dxa"/>
            <w:vAlign w:val="center"/>
          </w:tcPr>
          <w:p>
            <w:pPr>
              <w:jc w:val="center"/>
              <w:rPr>
                <w:rFonts w:ascii="宋体" w:hAnsi="宋体" w:eastAsiaTheme="minorEastAsia"/>
                <w:sz w:val="24"/>
                <w:szCs w:val="24"/>
              </w:rPr>
            </w:pPr>
            <w:r>
              <w:rPr>
                <w:rFonts w:hint="eastAsia" w:ascii="宋体" w:hAnsi="宋体" w:eastAsiaTheme="minorEastAsia"/>
                <w:sz w:val="24"/>
                <w:szCs w:val="24"/>
              </w:rPr>
              <w:t>二手车评估师（中级）</w:t>
            </w:r>
          </w:p>
        </w:tc>
        <w:tc>
          <w:tcPr>
            <w:tcW w:w="2363" w:type="dxa"/>
          </w:tcPr>
          <w:p>
            <w:pPr>
              <w:jc w:val="center"/>
              <w:rPr>
                <w:rFonts w:eastAsiaTheme="minorEastAsia"/>
                <w:sz w:val="24"/>
                <w:szCs w:val="24"/>
              </w:rPr>
            </w:pPr>
            <w:r>
              <w:rPr>
                <w:rFonts w:hint="eastAsia" w:ascii="宋体" w:hAnsi="宋体" w:eastAsiaTheme="minorEastAsia"/>
                <w:sz w:val="24"/>
                <w:szCs w:val="24"/>
              </w:rPr>
              <w:t>选考</w:t>
            </w:r>
          </w:p>
        </w:tc>
        <w:tc>
          <w:tcPr>
            <w:tcW w:w="2155" w:type="dxa"/>
            <w:vAlign w:val="center"/>
          </w:tcPr>
          <w:p>
            <w:pPr>
              <w:jc w:val="center"/>
              <w:rPr>
                <w:rFonts w:ascii="宋体" w:hAnsi="宋体" w:eastAsiaTheme="minorEastAsia"/>
                <w:sz w:val="24"/>
                <w:szCs w:val="24"/>
              </w:rPr>
            </w:pPr>
            <w:r>
              <w:rPr>
                <w:rFonts w:hint="eastAsia" w:ascii="宋体" w:hAnsi="宋体" w:eastAsiaTheme="minorEastAsia"/>
                <w:sz w:val="24"/>
                <w:szCs w:val="24"/>
              </w:rPr>
              <w:t>人社部</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eastAsia="黑体"/>
          <w:b/>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b/>
          <w:bCs w:val="0"/>
          <w:sz w:val="28"/>
          <w:szCs w:val="28"/>
        </w:rPr>
      </w:pPr>
      <w:r>
        <w:rPr>
          <w:rFonts w:hint="eastAsia" w:ascii="黑体" w:eastAsia="黑体"/>
          <w:b/>
          <w:bCs w:val="0"/>
          <w:sz w:val="28"/>
          <w:szCs w:val="28"/>
        </w:rPr>
        <w:t>七、课程体系</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黑体" w:hAnsi="宋体" w:eastAsia="黑体"/>
          <w:bCs/>
          <w:sz w:val="28"/>
          <w:szCs w:val="28"/>
        </w:rPr>
        <w:t>（一）各类课程学分比例表</w:t>
      </w:r>
    </w:p>
    <w:p>
      <w:pPr>
        <w:widowControl/>
        <w:tabs>
          <w:tab w:val="center" w:pos="4201"/>
          <w:tab w:val="right" w:leader="dot" w:pos="9298"/>
        </w:tabs>
        <w:autoSpaceDE w:val="0"/>
        <w:autoSpaceDN w:val="0"/>
        <w:ind w:firstLine="420" w:firstLineChars="200"/>
        <w:rPr>
          <w:rFonts w:ascii="宋体" w:hAnsi="Calibri" w:eastAsiaTheme="minorEastAsia"/>
          <w:szCs w:val="22"/>
        </w:rPr>
      </w:pPr>
    </w:p>
    <w:tbl>
      <w:tblPr>
        <w:tblStyle w:val="3"/>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6"/>
        <w:gridCol w:w="1610"/>
        <w:gridCol w:w="1875"/>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996" w:type="dxa"/>
            <w:vMerge w:val="restart"/>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课程类别</w:t>
            </w:r>
          </w:p>
        </w:tc>
        <w:tc>
          <w:tcPr>
            <w:tcW w:w="3485" w:type="dxa"/>
            <w:gridSpan w:val="2"/>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小 计</w:t>
            </w:r>
          </w:p>
        </w:tc>
        <w:tc>
          <w:tcPr>
            <w:tcW w:w="2114" w:type="dxa"/>
            <w:vMerge w:val="restart"/>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96" w:type="dxa"/>
            <w:vMerge w:val="continue"/>
            <w:vAlign w:val="center"/>
          </w:tcPr>
          <w:p>
            <w:pPr>
              <w:widowControl/>
              <w:jc w:val="center"/>
              <w:textAlignment w:val="center"/>
              <w:rPr>
                <w:rFonts w:hint="eastAsia" w:ascii="宋体" w:hAnsi="宋体" w:eastAsia="宋体" w:cs="宋体"/>
                <w:bCs/>
                <w:kern w:val="0"/>
                <w:sz w:val="24"/>
              </w:rPr>
            </w:pP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学 分</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比 例(%)</w:t>
            </w:r>
          </w:p>
        </w:tc>
        <w:tc>
          <w:tcPr>
            <w:tcW w:w="2114" w:type="dxa"/>
            <w:vMerge w:val="continue"/>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公共基础课程</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69</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26.5%</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专业基础课程</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54</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20.8%</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专业核心课程</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56</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21.5%</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专业拓展课程</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28</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10.8%</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综合实践课程</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18</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6.9%</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专业选修课</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18</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6.9%</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公共基础选修课</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8</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3.1%</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专业技能达标</w:t>
            </w:r>
          </w:p>
        </w:tc>
        <w:tc>
          <w:tcPr>
            <w:tcW w:w="1610"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9</w:t>
            </w:r>
          </w:p>
        </w:tc>
        <w:tc>
          <w:tcPr>
            <w:tcW w:w="1875"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kern w:val="0"/>
                <w:sz w:val="24"/>
              </w:rPr>
              <w:t>3.5%</w:t>
            </w:r>
          </w:p>
        </w:tc>
        <w:tc>
          <w:tcPr>
            <w:tcW w:w="2114" w:type="dxa"/>
            <w:vAlign w:val="center"/>
          </w:tcPr>
          <w:p>
            <w:pPr>
              <w:widowControl/>
              <w:jc w:val="center"/>
              <w:textAlignment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6" w:type="dxa"/>
            <w:vAlign w:val="center"/>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合计</w:t>
            </w:r>
          </w:p>
        </w:tc>
        <w:tc>
          <w:tcPr>
            <w:tcW w:w="1610" w:type="dxa"/>
            <w:vAlign w:val="bottom"/>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260</w:t>
            </w:r>
          </w:p>
        </w:tc>
        <w:tc>
          <w:tcPr>
            <w:tcW w:w="1875" w:type="dxa"/>
            <w:vAlign w:val="bottom"/>
          </w:tcPr>
          <w:p>
            <w:pPr>
              <w:widowControl/>
              <w:jc w:val="center"/>
              <w:textAlignment w:val="center"/>
              <w:rPr>
                <w:rFonts w:hint="eastAsia" w:ascii="宋体" w:hAnsi="宋体" w:eastAsia="宋体" w:cs="宋体"/>
                <w:bCs/>
                <w:kern w:val="0"/>
                <w:sz w:val="24"/>
              </w:rPr>
            </w:pPr>
            <w:r>
              <w:rPr>
                <w:rFonts w:hint="eastAsia" w:ascii="宋体" w:hAnsi="宋体" w:eastAsia="宋体" w:cs="宋体"/>
                <w:bCs/>
                <w:kern w:val="0"/>
                <w:sz w:val="24"/>
              </w:rPr>
              <w:t>100%</w:t>
            </w:r>
          </w:p>
        </w:tc>
        <w:tc>
          <w:tcPr>
            <w:tcW w:w="2114" w:type="dxa"/>
            <w:vAlign w:val="center"/>
          </w:tcPr>
          <w:p>
            <w:pPr>
              <w:widowControl/>
              <w:jc w:val="center"/>
              <w:textAlignment w:val="center"/>
              <w:rPr>
                <w:rFonts w:hint="eastAsia" w:ascii="宋体" w:hAnsi="宋体" w:eastAsia="宋体" w:cs="宋体"/>
                <w:bCs/>
                <w:kern w:val="0"/>
                <w:sz w:val="24"/>
              </w:rPr>
            </w:pPr>
          </w:p>
        </w:tc>
      </w:tr>
    </w:tbl>
    <w:p>
      <w:pPr>
        <w:numPr>
          <w:ilvl w:val="0"/>
          <w:numId w:val="0"/>
        </w:numPr>
        <w:ind w:leftChars="128"/>
        <w:jc w:val="left"/>
        <w:rPr>
          <w:rFonts w:hint="eastAsia" w:ascii="黑体" w:hAnsi="宋体" w:eastAsia="黑体"/>
          <w:b w:val="0"/>
          <w:bCs w:val="0"/>
          <w:sz w:val="28"/>
          <w:szCs w:val="28"/>
        </w:rPr>
      </w:pPr>
      <w:r>
        <w:rPr>
          <w:rFonts w:hint="eastAsia" w:ascii="黑体" w:eastAsia="黑体"/>
          <w:b w:val="0"/>
          <w:bCs w:val="0"/>
          <w:sz w:val="28"/>
          <w:szCs w:val="28"/>
          <w:lang w:eastAsia="zh-CN"/>
        </w:rPr>
        <w:t>（二）</w:t>
      </w:r>
      <w:r>
        <w:rPr>
          <w:rFonts w:hint="eastAsia" w:ascii="黑体" w:eastAsia="黑体"/>
          <w:b w:val="0"/>
          <w:bCs w:val="0"/>
          <w:sz w:val="28"/>
          <w:szCs w:val="28"/>
        </w:rPr>
        <w:t>各类</w:t>
      </w:r>
      <w:r>
        <w:rPr>
          <w:rFonts w:hint="eastAsia" w:ascii="黑体" w:hAnsi="宋体" w:eastAsia="黑体"/>
          <w:b w:val="0"/>
          <w:bCs w:val="0"/>
          <w:sz w:val="28"/>
          <w:szCs w:val="28"/>
        </w:rPr>
        <w:t>课程学分年级分配</w:t>
      </w:r>
    </w:p>
    <w:p>
      <w:pPr>
        <w:pStyle w:val="2"/>
        <w:numPr>
          <w:ilvl w:val="0"/>
          <w:numId w:val="0"/>
        </w:numPr>
        <w:ind w:leftChars="128"/>
      </w:pPr>
    </w:p>
    <w:tbl>
      <w:tblPr>
        <w:tblStyle w:val="3"/>
        <w:tblW w:w="10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424"/>
        <w:gridCol w:w="540"/>
        <w:gridCol w:w="600"/>
        <w:gridCol w:w="566"/>
        <w:gridCol w:w="555"/>
        <w:gridCol w:w="720"/>
        <w:gridCol w:w="465"/>
        <w:gridCol w:w="495"/>
        <w:gridCol w:w="705"/>
        <w:gridCol w:w="540"/>
        <w:gridCol w:w="529"/>
        <w:gridCol w:w="776"/>
        <w:gridCol w:w="465"/>
        <w:gridCol w:w="55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673" w:type="dxa"/>
            <w:vMerge w:val="restart"/>
            <w:tcBorders>
              <w:tl2br w:val="single" w:color="auto" w:sz="4" w:space="0"/>
            </w:tcBorders>
            <w:vAlign w:val="center"/>
          </w:tcPr>
          <w:p>
            <w:pPr>
              <w:ind w:firstLine="630" w:firstLineChars="300"/>
              <w:rPr>
                <w:rFonts w:hint="eastAsia" w:ascii="宋体" w:hAnsi="宋体" w:eastAsia="宋体" w:cs="宋体"/>
                <w:sz w:val="21"/>
                <w:szCs w:val="21"/>
              </w:rPr>
            </w:pPr>
            <w:r>
              <w:rPr>
                <w:rFonts w:hint="eastAsia" w:ascii="宋体" w:hAnsi="宋体" w:eastAsia="宋体" w:cs="宋体"/>
                <w:sz w:val="21"/>
                <w:szCs w:val="21"/>
              </w:rPr>
              <w:t>年级</w:t>
            </w:r>
          </w:p>
          <w:p>
            <w:pPr>
              <w:ind w:firstLine="630" w:firstLineChars="300"/>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课程类型</w:t>
            </w:r>
          </w:p>
        </w:tc>
        <w:tc>
          <w:tcPr>
            <w:tcW w:w="1564"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一年级</w:t>
            </w:r>
          </w:p>
        </w:tc>
        <w:tc>
          <w:tcPr>
            <w:tcW w:w="184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二年级</w:t>
            </w:r>
          </w:p>
        </w:tc>
        <w:tc>
          <w:tcPr>
            <w:tcW w:w="1665"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三年级</w:t>
            </w:r>
          </w:p>
        </w:tc>
        <w:tc>
          <w:tcPr>
            <w:tcW w:w="1845"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四年级</w:t>
            </w:r>
          </w:p>
        </w:tc>
        <w:tc>
          <w:tcPr>
            <w:tcW w:w="177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673" w:type="dxa"/>
            <w:vMerge w:val="continue"/>
            <w:tcBorders>
              <w:tl2br w:val="single" w:color="auto" w:sz="4" w:space="0"/>
            </w:tcBorders>
            <w:vAlign w:val="center"/>
          </w:tcPr>
          <w:p>
            <w:pPr>
              <w:jc w:val="center"/>
              <w:rPr>
                <w:rFonts w:hint="eastAsia" w:ascii="宋体" w:hAnsi="宋体" w:eastAsia="宋体" w:cs="宋体"/>
                <w:sz w:val="21"/>
                <w:szCs w:val="21"/>
              </w:rPr>
            </w:pPr>
          </w:p>
        </w:tc>
        <w:tc>
          <w:tcPr>
            <w:tcW w:w="42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课程门数</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比例(%)</w:t>
            </w:r>
          </w:p>
        </w:tc>
        <w:tc>
          <w:tcPr>
            <w:tcW w:w="56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课程门数</w:t>
            </w:r>
          </w:p>
        </w:tc>
        <w:tc>
          <w:tcPr>
            <w:tcW w:w="5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7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比例(%)</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课程门数</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7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比例(%)</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课程门数</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比例(%)</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课程门数</w:t>
            </w:r>
          </w:p>
        </w:tc>
        <w:tc>
          <w:tcPr>
            <w:tcW w:w="55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7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公共基础</w:t>
            </w:r>
            <w:r>
              <w:rPr>
                <w:rFonts w:hint="eastAsia" w:ascii="宋体" w:hAnsi="宋体" w:cs="宋体"/>
                <w:sz w:val="21"/>
                <w:szCs w:val="21"/>
                <w:lang w:eastAsia="zh-CN"/>
              </w:rPr>
              <w:t>课程</w:t>
            </w:r>
          </w:p>
        </w:tc>
        <w:tc>
          <w:tcPr>
            <w:tcW w:w="424"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7</w:t>
            </w:r>
          </w:p>
        </w:tc>
        <w:tc>
          <w:tcPr>
            <w:tcW w:w="54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24</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9.2%</w:t>
            </w:r>
          </w:p>
        </w:tc>
        <w:tc>
          <w:tcPr>
            <w:tcW w:w="56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6</w:t>
            </w:r>
          </w:p>
        </w:tc>
        <w:tc>
          <w:tcPr>
            <w:tcW w:w="55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20</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7.7%</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1.5%</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6.2%</w:t>
            </w:r>
          </w:p>
        </w:tc>
        <w:tc>
          <w:tcPr>
            <w:tcW w:w="465"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2</w:t>
            </w:r>
          </w:p>
        </w:tc>
        <w:tc>
          <w:tcPr>
            <w:tcW w:w="559"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2</w:t>
            </w:r>
          </w:p>
        </w:tc>
        <w:tc>
          <w:tcPr>
            <w:tcW w:w="746" w:type="dxa"/>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6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专业基础</w:t>
            </w:r>
            <w:r>
              <w:rPr>
                <w:rFonts w:hint="eastAsia" w:ascii="宋体" w:hAnsi="宋体" w:cs="宋体"/>
                <w:sz w:val="21"/>
                <w:szCs w:val="21"/>
                <w:lang w:eastAsia="zh-CN"/>
              </w:rPr>
              <w:t>课程</w:t>
            </w:r>
          </w:p>
        </w:tc>
        <w:tc>
          <w:tcPr>
            <w:tcW w:w="424"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5</w:t>
            </w:r>
          </w:p>
        </w:tc>
        <w:tc>
          <w:tcPr>
            <w:tcW w:w="54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28</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5"/>
                <w:szCs w:val="15"/>
              </w:rPr>
              <w:t>10.8%</w:t>
            </w:r>
          </w:p>
        </w:tc>
        <w:tc>
          <w:tcPr>
            <w:tcW w:w="56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4</w:t>
            </w:r>
          </w:p>
        </w:tc>
        <w:tc>
          <w:tcPr>
            <w:tcW w:w="55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16</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6.2%</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3.8%</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0.0%</w:t>
            </w:r>
          </w:p>
        </w:tc>
        <w:tc>
          <w:tcPr>
            <w:tcW w:w="465"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0</w:t>
            </w:r>
          </w:p>
        </w:tc>
        <w:tc>
          <w:tcPr>
            <w:tcW w:w="559"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0</w:t>
            </w:r>
          </w:p>
        </w:tc>
        <w:tc>
          <w:tcPr>
            <w:tcW w:w="746" w:type="dxa"/>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专业核心</w:t>
            </w:r>
            <w:r>
              <w:rPr>
                <w:rFonts w:hint="eastAsia" w:ascii="宋体" w:hAnsi="宋体" w:cs="宋体"/>
                <w:sz w:val="21"/>
                <w:szCs w:val="21"/>
                <w:lang w:eastAsia="zh-CN"/>
              </w:rPr>
              <w:t>课程</w:t>
            </w:r>
          </w:p>
        </w:tc>
        <w:tc>
          <w:tcPr>
            <w:tcW w:w="424"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w:t>
            </w:r>
          </w:p>
        </w:tc>
        <w:tc>
          <w:tcPr>
            <w:tcW w:w="54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0.0%</w:t>
            </w:r>
          </w:p>
        </w:tc>
        <w:tc>
          <w:tcPr>
            <w:tcW w:w="56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w:t>
            </w:r>
          </w:p>
        </w:tc>
        <w:tc>
          <w:tcPr>
            <w:tcW w:w="55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0.0%</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4.6%</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26</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15"/>
                <w:szCs w:val="15"/>
              </w:rPr>
              <w:t>10.0%</w:t>
            </w:r>
          </w:p>
        </w:tc>
        <w:tc>
          <w:tcPr>
            <w:tcW w:w="465"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4</w:t>
            </w:r>
          </w:p>
        </w:tc>
        <w:tc>
          <w:tcPr>
            <w:tcW w:w="559"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18</w:t>
            </w:r>
          </w:p>
        </w:tc>
        <w:tc>
          <w:tcPr>
            <w:tcW w:w="746" w:type="dxa"/>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专业拓展</w:t>
            </w:r>
            <w:r>
              <w:rPr>
                <w:rFonts w:hint="eastAsia" w:ascii="宋体" w:hAnsi="宋体" w:cs="宋体"/>
                <w:sz w:val="21"/>
                <w:szCs w:val="21"/>
                <w:lang w:eastAsia="zh-CN"/>
              </w:rPr>
              <w:t>课程</w:t>
            </w:r>
          </w:p>
        </w:tc>
        <w:tc>
          <w:tcPr>
            <w:tcW w:w="424"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w:t>
            </w:r>
          </w:p>
        </w:tc>
        <w:tc>
          <w:tcPr>
            <w:tcW w:w="54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0.0%</w:t>
            </w:r>
          </w:p>
        </w:tc>
        <w:tc>
          <w:tcPr>
            <w:tcW w:w="56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3</w:t>
            </w:r>
          </w:p>
        </w:tc>
        <w:tc>
          <w:tcPr>
            <w:tcW w:w="55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12</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4.6%</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5.4%</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0.8%</w:t>
            </w:r>
          </w:p>
        </w:tc>
        <w:tc>
          <w:tcPr>
            <w:tcW w:w="465"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0</w:t>
            </w:r>
          </w:p>
        </w:tc>
        <w:tc>
          <w:tcPr>
            <w:tcW w:w="559"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0</w:t>
            </w:r>
          </w:p>
        </w:tc>
        <w:tc>
          <w:tcPr>
            <w:tcW w:w="746" w:type="dxa"/>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综合实践</w:t>
            </w:r>
            <w:r>
              <w:rPr>
                <w:rFonts w:hint="eastAsia" w:ascii="宋体" w:hAnsi="宋体" w:cs="宋体"/>
                <w:sz w:val="21"/>
                <w:szCs w:val="21"/>
                <w:lang w:eastAsia="zh-CN"/>
              </w:rPr>
              <w:t>课程</w:t>
            </w:r>
          </w:p>
        </w:tc>
        <w:tc>
          <w:tcPr>
            <w:tcW w:w="42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15"/>
                <w:szCs w:val="15"/>
              </w:rPr>
              <w:t>1.5</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0.6%</w:t>
            </w:r>
          </w:p>
        </w:tc>
        <w:tc>
          <w:tcPr>
            <w:tcW w:w="56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0.4%</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0.4%</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18"/>
                <w:szCs w:val="18"/>
              </w:rPr>
              <w:t>2.5</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1.0%</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559" w:type="dxa"/>
            <w:vAlign w:val="center"/>
          </w:tcPr>
          <w:p>
            <w:pPr>
              <w:jc w:val="center"/>
              <w:rPr>
                <w:rFonts w:hint="eastAsia" w:ascii="宋体" w:hAnsi="宋体" w:eastAsia="宋体" w:cs="宋体"/>
                <w:sz w:val="21"/>
                <w:szCs w:val="21"/>
              </w:rPr>
            </w:pPr>
            <w:r>
              <w:rPr>
                <w:rFonts w:hint="eastAsia" w:ascii="宋体" w:hAnsi="宋体" w:eastAsia="宋体" w:cs="宋体"/>
                <w:sz w:val="15"/>
                <w:szCs w:val="15"/>
              </w:rPr>
              <w:t>11.5</w:t>
            </w:r>
          </w:p>
        </w:tc>
        <w:tc>
          <w:tcPr>
            <w:tcW w:w="74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专业选修</w:t>
            </w:r>
            <w:r>
              <w:rPr>
                <w:rFonts w:hint="eastAsia" w:ascii="宋体" w:hAnsi="宋体" w:cs="宋体"/>
                <w:sz w:val="21"/>
                <w:szCs w:val="21"/>
                <w:lang w:eastAsia="zh-CN"/>
              </w:rPr>
              <w:t>课程</w:t>
            </w:r>
          </w:p>
        </w:tc>
        <w:tc>
          <w:tcPr>
            <w:tcW w:w="42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1.5%</w:t>
            </w:r>
          </w:p>
        </w:tc>
        <w:tc>
          <w:tcPr>
            <w:tcW w:w="56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1.5%</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1.5%</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1.5%</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5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4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公共选修</w:t>
            </w:r>
            <w:r>
              <w:rPr>
                <w:rFonts w:hint="eastAsia" w:ascii="宋体" w:hAnsi="宋体" w:cs="宋体"/>
                <w:sz w:val="21"/>
                <w:szCs w:val="21"/>
                <w:lang w:eastAsia="zh-CN"/>
              </w:rPr>
              <w:t>课程</w:t>
            </w:r>
          </w:p>
        </w:tc>
        <w:tc>
          <w:tcPr>
            <w:tcW w:w="42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c>
          <w:tcPr>
            <w:tcW w:w="56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0.8%</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5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4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专业技能达标</w:t>
            </w:r>
          </w:p>
        </w:tc>
        <w:tc>
          <w:tcPr>
            <w:tcW w:w="424"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w:t>
            </w:r>
          </w:p>
        </w:tc>
        <w:tc>
          <w:tcPr>
            <w:tcW w:w="54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w:t>
            </w:r>
          </w:p>
        </w:tc>
        <w:tc>
          <w:tcPr>
            <w:tcW w:w="60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c>
          <w:tcPr>
            <w:tcW w:w="56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w:t>
            </w:r>
          </w:p>
        </w:tc>
        <w:tc>
          <w:tcPr>
            <w:tcW w:w="55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w:t>
            </w:r>
          </w:p>
        </w:tc>
        <w:tc>
          <w:tcPr>
            <w:tcW w:w="72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c>
          <w:tcPr>
            <w:tcW w:w="4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05"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0.8%</w:t>
            </w:r>
          </w:p>
        </w:tc>
        <w:tc>
          <w:tcPr>
            <w:tcW w:w="5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7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0.8%</w:t>
            </w:r>
          </w:p>
        </w:tc>
        <w:tc>
          <w:tcPr>
            <w:tcW w:w="465"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1</w:t>
            </w:r>
          </w:p>
        </w:tc>
        <w:tc>
          <w:tcPr>
            <w:tcW w:w="559"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746" w:type="dxa"/>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424"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22</w:t>
            </w:r>
          </w:p>
        </w:tc>
        <w:tc>
          <w:tcPr>
            <w:tcW w:w="540"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3"/>
                <w:szCs w:val="13"/>
              </w:rPr>
              <w:t>61.5</w:t>
            </w:r>
          </w:p>
        </w:tc>
        <w:tc>
          <w:tcPr>
            <w:tcW w:w="600"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23.7%</w:t>
            </w:r>
          </w:p>
        </w:tc>
        <w:tc>
          <w:tcPr>
            <w:tcW w:w="566"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22</w:t>
            </w:r>
          </w:p>
        </w:tc>
        <w:tc>
          <w:tcPr>
            <w:tcW w:w="555"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57</w:t>
            </w:r>
          </w:p>
        </w:tc>
        <w:tc>
          <w:tcPr>
            <w:tcW w:w="720"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21.9%</w:t>
            </w:r>
          </w:p>
        </w:tc>
        <w:tc>
          <w:tcPr>
            <w:tcW w:w="465"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18</w:t>
            </w:r>
          </w:p>
        </w:tc>
        <w:tc>
          <w:tcPr>
            <w:tcW w:w="495"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49</w:t>
            </w:r>
          </w:p>
        </w:tc>
        <w:tc>
          <w:tcPr>
            <w:tcW w:w="705"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18.8%</w:t>
            </w:r>
          </w:p>
        </w:tc>
        <w:tc>
          <w:tcPr>
            <w:tcW w:w="540"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25</w:t>
            </w:r>
          </w:p>
        </w:tc>
        <w:tc>
          <w:tcPr>
            <w:tcW w:w="529"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54.5</w:t>
            </w:r>
          </w:p>
        </w:tc>
        <w:tc>
          <w:tcPr>
            <w:tcW w:w="776"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21.0%</w:t>
            </w:r>
          </w:p>
        </w:tc>
        <w:tc>
          <w:tcPr>
            <w:tcW w:w="465"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14</w:t>
            </w:r>
          </w:p>
        </w:tc>
        <w:tc>
          <w:tcPr>
            <w:tcW w:w="559" w:type="dxa"/>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36.5</w:t>
            </w:r>
          </w:p>
        </w:tc>
        <w:tc>
          <w:tcPr>
            <w:tcW w:w="746" w:type="dxa"/>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5"/>
                <w:szCs w:val="15"/>
              </w:rPr>
              <w:t>14.0%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黑体" w:hAnsi="宋体" w:eastAsia="黑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rPr>
      </w:pPr>
      <w:r>
        <w:rPr>
          <w:rFonts w:hint="eastAsia" w:ascii="黑体" w:hAnsi="宋体" w:eastAsia="黑体"/>
          <w:b w:val="0"/>
          <w:bCs/>
          <w:sz w:val="28"/>
          <w:szCs w:val="28"/>
          <w:lang w:eastAsia="zh-CN"/>
        </w:rPr>
        <w:t>（三）</w:t>
      </w:r>
      <w:r>
        <w:rPr>
          <w:rFonts w:hint="eastAsia" w:ascii="黑体" w:hAnsi="宋体" w:eastAsia="黑体"/>
          <w:b w:val="0"/>
          <w:bCs/>
          <w:sz w:val="28"/>
          <w:szCs w:val="28"/>
        </w:rPr>
        <w:t>教学进程及课时、学分分配表</w:t>
      </w:r>
    </w:p>
    <w:p>
      <w:pPr>
        <w:pStyle w:val="2"/>
        <w:numPr>
          <w:ilvl w:val="0"/>
          <w:numId w:val="0"/>
        </w:numPr>
        <w:ind w:leftChars="0"/>
      </w:pPr>
    </w:p>
    <w:tbl>
      <w:tblPr>
        <w:tblStyle w:val="3"/>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Layout w:type="fixed"/>
        <w:tblCellMar>
          <w:top w:w="0" w:type="dxa"/>
          <w:left w:w="0" w:type="dxa"/>
          <w:bottom w:w="0" w:type="dxa"/>
          <w:right w:w="0" w:type="dxa"/>
        </w:tblCellMar>
      </w:tblPr>
      <w:tblGrid>
        <w:gridCol w:w="406"/>
        <w:gridCol w:w="362"/>
        <w:gridCol w:w="447"/>
        <w:gridCol w:w="1966"/>
        <w:gridCol w:w="612"/>
        <w:gridCol w:w="538"/>
        <w:gridCol w:w="500"/>
        <w:gridCol w:w="437"/>
        <w:gridCol w:w="325"/>
        <w:gridCol w:w="375"/>
        <w:gridCol w:w="375"/>
        <w:gridCol w:w="8"/>
        <w:gridCol w:w="383"/>
        <w:gridCol w:w="383"/>
        <w:gridCol w:w="383"/>
        <w:gridCol w:w="383"/>
        <w:gridCol w:w="388"/>
        <w:gridCol w:w="378"/>
        <w:gridCol w:w="341"/>
        <w:gridCol w:w="35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285" w:hRule="atLeast"/>
          <w:jc w:val="center"/>
        </w:trPr>
        <w:tc>
          <w:tcPr>
            <w:tcW w:w="406"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5"/>
                <w:szCs w:val="15"/>
              </w:rPr>
            </w:pPr>
            <w:r>
              <w:rPr>
                <w:rFonts w:hint="eastAsia" w:ascii="仿宋" w:hAnsi="仿宋" w:eastAsia="仿宋" w:cs="仿宋"/>
                <w:b/>
                <w:kern w:val="0"/>
                <w:sz w:val="15"/>
                <w:szCs w:val="15"/>
              </w:rPr>
              <w:t>课程性质</w:t>
            </w:r>
          </w:p>
        </w:tc>
        <w:tc>
          <w:tcPr>
            <w:tcW w:w="362"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5"/>
                <w:szCs w:val="15"/>
              </w:rPr>
            </w:pPr>
            <w:r>
              <w:rPr>
                <w:rFonts w:hint="eastAsia" w:ascii="仿宋" w:hAnsi="仿宋" w:eastAsia="仿宋" w:cs="仿宋"/>
                <w:b/>
                <w:kern w:val="0"/>
                <w:sz w:val="15"/>
                <w:szCs w:val="15"/>
              </w:rPr>
              <w:t>课程类型</w:t>
            </w:r>
          </w:p>
        </w:tc>
        <w:tc>
          <w:tcPr>
            <w:tcW w:w="447"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序号</w:t>
            </w:r>
          </w:p>
        </w:tc>
        <w:tc>
          <w:tcPr>
            <w:tcW w:w="1966"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课程名称</w:t>
            </w:r>
          </w:p>
        </w:tc>
        <w:tc>
          <w:tcPr>
            <w:tcW w:w="1650" w:type="dxa"/>
            <w:gridSpan w:val="3"/>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5"/>
                <w:szCs w:val="15"/>
              </w:rPr>
              <w:t>计划学时每学期20周</w:t>
            </w:r>
          </w:p>
        </w:tc>
        <w:tc>
          <w:tcPr>
            <w:tcW w:w="437"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总学分数</w:t>
            </w:r>
          </w:p>
        </w:tc>
        <w:tc>
          <w:tcPr>
            <w:tcW w:w="700" w:type="dxa"/>
            <w:gridSpan w:val="2"/>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考核方式</w:t>
            </w:r>
          </w:p>
        </w:tc>
        <w:tc>
          <w:tcPr>
            <w:tcW w:w="3830" w:type="dxa"/>
            <w:gridSpan w:val="11"/>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学期周学时安排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285" w:hRule="atLeast"/>
          <w:jc w:val="center"/>
        </w:trPr>
        <w:tc>
          <w:tcPr>
            <w:tcW w:w="406"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62"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447"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1966"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612"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理论</w:t>
            </w:r>
          </w:p>
        </w:tc>
        <w:tc>
          <w:tcPr>
            <w:tcW w:w="1038" w:type="dxa"/>
            <w:gridSpan w:val="2"/>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实践</w:t>
            </w:r>
          </w:p>
        </w:tc>
        <w:tc>
          <w:tcPr>
            <w:tcW w:w="437"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25"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考查</w:t>
            </w:r>
          </w:p>
        </w:tc>
        <w:tc>
          <w:tcPr>
            <w:tcW w:w="375"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考试</w:t>
            </w:r>
          </w:p>
        </w:tc>
        <w:tc>
          <w:tcPr>
            <w:tcW w:w="766" w:type="dxa"/>
            <w:gridSpan w:val="3"/>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一年级</w:t>
            </w:r>
          </w:p>
        </w:tc>
        <w:tc>
          <w:tcPr>
            <w:tcW w:w="766" w:type="dxa"/>
            <w:gridSpan w:val="2"/>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二年级</w:t>
            </w:r>
          </w:p>
        </w:tc>
        <w:tc>
          <w:tcPr>
            <w:tcW w:w="771" w:type="dxa"/>
            <w:gridSpan w:val="2"/>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三年级</w:t>
            </w:r>
          </w:p>
        </w:tc>
        <w:tc>
          <w:tcPr>
            <w:tcW w:w="719" w:type="dxa"/>
            <w:gridSpan w:val="2"/>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四年级</w:t>
            </w:r>
          </w:p>
        </w:tc>
        <w:tc>
          <w:tcPr>
            <w:tcW w:w="808" w:type="dxa"/>
            <w:gridSpan w:val="2"/>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12" w:hRule="atLeast"/>
          <w:jc w:val="center"/>
        </w:trPr>
        <w:tc>
          <w:tcPr>
            <w:tcW w:w="406"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62"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447"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1966"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612"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538"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课内实践</w:t>
            </w:r>
          </w:p>
        </w:tc>
        <w:tc>
          <w:tcPr>
            <w:tcW w:w="500" w:type="dxa"/>
            <w:vMerge w:val="restart"/>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课外实践</w:t>
            </w:r>
          </w:p>
        </w:tc>
        <w:tc>
          <w:tcPr>
            <w:tcW w:w="437"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25"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75"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766" w:type="dxa"/>
            <w:gridSpan w:val="3"/>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766" w:type="dxa"/>
            <w:gridSpan w:val="2"/>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771" w:type="dxa"/>
            <w:gridSpan w:val="2"/>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719" w:type="dxa"/>
            <w:gridSpan w:val="2"/>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808" w:type="dxa"/>
            <w:gridSpan w:val="2"/>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570" w:hRule="atLeast"/>
          <w:jc w:val="center"/>
        </w:trPr>
        <w:tc>
          <w:tcPr>
            <w:tcW w:w="406"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62"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447"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1966"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612"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538"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500"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437"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25"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75" w:type="dxa"/>
            <w:vMerge w:val="continue"/>
            <w:shd w:val="solid"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 w:hAnsi="仿宋" w:eastAsia="仿宋" w:cs="仿宋"/>
                <w:b/>
                <w:sz w:val="18"/>
                <w:szCs w:val="18"/>
              </w:rPr>
            </w:pPr>
          </w:p>
        </w:tc>
        <w:tc>
          <w:tcPr>
            <w:tcW w:w="375"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1</w:t>
            </w:r>
          </w:p>
        </w:tc>
        <w:tc>
          <w:tcPr>
            <w:tcW w:w="391" w:type="dxa"/>
            <w:gridSpan w:val="2"/>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2</w:t>
            </w:r>
          </w:p>
        </w:tc>
        <w:tc>
          <w:tcPr>
            <w:tcW w:w="383"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3</w:t>
            </w:r>
          </w:p>
        </w:tc>
        <w:tc>
          <w:tcPr>
            <w:tcW w:w="383"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4</w:t>
            </w:r>
          </w:p>
        </w:tc>
        <w:tc>
          <w:tcPr>
            <w:tcW w:w="383"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5</w:t>
            </w:r>
          </w:p>
        </w:tc>
        <w:tc>
          <w:tcPr>
            <w:tcW w:w="388"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6</w:t>
            </w:r>
          </w:p>
        </w:tc>
        <w:tc>
          <w:tcPr>
            <w:tcW w:w="378"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7</w:t>
            </w:r>
          </w:p>
        </w:tc>
        <w:tc>
          <w:tcPr>
            <w:tcW w:w="341"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8</w:t>
            </w:r>
          </w:p>
        </w:tc>
        <w:tc>
          <w:tcPr>
            <w:tcW w:w="353"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9</w:t>
            </w:r>
          </w:p>
        </w:tc>
        <w:tc>
          <w:tcPr>
            <w:tcW w:w="455" w:type="dxa"/>
            <w:shd w:val="solid"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必</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修</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课</w:t>
            </w:r>
          </w:p>
        </w:tc>
        <w:tc>
          <w:tcPr>
            <w:tcW w:w="362"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Cs/>
                <w:kern w:val="0"/>
                <w:sz w:val="21"/>
                <w:szCs w:val="21"/>
              </w:rPr>
              <w:t>公共基础课程</w:t>
            </w: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职业道德与法治</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16</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心理健康与职业生涯</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16</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哲学与人生</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16</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中国特色社会主义</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16</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5</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18"/>
                <w:szCs w:val="18"/>
                <w:lang w:eastAsia="zh-CN"/>
              </w:rPr>
              <w:t>习近平新时代</w:t>
            </w:r>
            <w:r>
              <w:rPr>
                <w:rFonts w:hint="eastAsia" w:ascii="仿宋" w:hAnsi="仿宋" w:eastAsia="仿宋" w:cs="仿宋"/>
                <w:kern w:val="0"/>
                <w:sz w:val="18"/>
                <w:szCs w:val="18"/>
              </w:rPr>
              <w:t>中国特色社会主义</w:t>
            </w:r>
            <w:r>
              <w:rPr>
                <w:rFonts w:hint="eastAsia" w:ascii="仿宋" w:hAnsi="仿宋" w:eastAsia="仿宋" w:cs="仿宋"/>
                <w:kern w:val="0"/>
                <w:sz w:val="18"/>
                <w:szCs w:val="18"/>
                <w:lang w:eastAsia="zh-CN"/>
              </w:rPr>
              <w:t>思想</w:t>
            </w:r>
            <w:r>
              <w:rPr>
                <w:rFonts w:hint="eastAsia" w:ascii="仿宋" w:hAnsi="仿宋" w:eastAsia="仿宋" w:cs="仿宋"/>
                <w:kern w:val="0"/>
                <w:sz w:val="18"/>
                <w:szCs w:val="18"/>
              </w:rPr>
              <w:t>概论</w:t>
            </w:r>
          </w:p>
        </w:tc>
        <w:tc>
          <w:tcPr>
            <w:tcW w:w="612" w:type="dxa"/>
            <w:shd w:val="solid" w:color="FFFFFF" w:fill="FFFFFF"/>
            <w:tcMar>
              <w:top w:w="15" w:type="dxa"/>
              <w:left w:w="15" w:type="dxa"/>
              <w:right w:w="15" w:type="dxa"/>
            </w:tcMar>
            <w:vAlign w:val="center"/>
          </w:tcPr>
          <w:p>
            <w:pPr>
              <w:widowControl/>
              <w:jc w:val="center"/>
              <w:textAlignment w:val="center"/>
              <w:rPr>
                <w:rFonts w:hint="default" w:ascii="仿宋" w:hAnsi="仿宋" w:eastAsia="仿宋" w:cs="仿宋"/>
                <w:kern w:val="2"/>
                <w:sz w:val="21"/>
                <w:szCs w:val="21"/>
                <w:lang w:val="en-US" w:eastAsia="zh-CN" w:bidi="ar-SA"/>
              </w:rPr>
            </w:pPr>
            <w:r>
              <w:rPr>
                <w:rFonts w:hint="eastAsia" w:ascii="仿宋" w:hAnsi="仿宋" w:eastAsia="仿宋" w:cs="仿宋"/>
                <w:kern w:val="0"/>
                <w:sz w:val="21"/>
                <w:szCs w:val="21"/>
                <w:lang w:val="en-US" w:eastAsia="zh-CN"/>
              </w:rPr>
              <w:t>32</w:t>
            </w:r>
          </w:p>
        </w:tc>
        <w:tc>
          <w:tcPr>
            <w:tcW w:w="538" w:type="dxa"/>
            <w:shd w:val="solid" w:color="FFFFFF" w:fill="FFFFFF"/>
            <w:tcMar>
              <w:top w:w="15" w:type="dxa"/>
              <w:left w:w="15" w:type="dxa"/>
              <w:right w:w="15" w:type="dxa"/>
            </w:tcMar>
            <w:vAlign w:val="center"/>
          </w:tcPr>
          <w:p>
            <w:pPr>
              <w:widowControl/>
              <w:jc w:val="center"/>
              <w:textAlignment w:val="center"/>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5</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val="en-US" w:eastAsia="zh-CN"/>
              </w:rPr>
              <w:t>3</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val="en-US" w:eastAsia="zh-CN"/>
              </w:rPr>
              <w:t>2</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2</w:t>
            </w: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5</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18"/>
                <w:szCs w:val="18"/>
              </w:rPr>
              <w:t>毛泽东思想和中国社会主义理论体系概论</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lang w:val="en-US" w:eastAsia="zh-CN"/>
              </w:rPr>
              <w:t>32</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2"/>
                <w:sz w:val="21"/>
                <w:szCs w:val="21"/>
                <w:lang w:val="en-US" w:eastAsia="zh-CN" w:bidi="ar-SA"/>
              </w:rPr>
              <w:t>5</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lang w:val="en-US" w:eastAsia="zh-CN"/>
              </w:rPr>
              <w:t>3</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lang w:val="en-US" w:eastAsia="zh-CN"/>
              </w:rPr>
              <w:t>2</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6</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形势与政策</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12</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500"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7</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语文</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48</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32</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8</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数学</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48</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32</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9</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英语</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48</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32</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12</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大学语文</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24</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16</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13</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体育</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36</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226</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18</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14</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5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14</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计算机应用基础</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16</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48</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16</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15</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大学生心理健康教育</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12</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16</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创新创业教育</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12</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5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17</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就业指导</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12</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44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sz w:val="18"/>
                <w:szCs w:val="18"/>
              </w:rPr>
            </w:pPr>
            <w:r>
              <w:rPr>
                <w:rFonts w:ascii="FangSong_GB2312" w:hAnsi="宋体" w:eastAsia="FangSong_GB2312" w:cs="FangSong_GB2312"/>
                <w:kern w:val="0"/>
                <w:sz w:val="18"/>
                <w:szCs w:val="18"/>
              </w:rPr>
              <w:t>18</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军事理论与技能</w:t>
            </w:r>
          </w:p>
        </w:tc>
        <w:tc>
          <w:tcPr>
            <w:tcW w:w="612"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40</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40</w:t>
            </w: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b/>
                <w:sz w:val="16"/>
                <w:szCs w:val="16"/>
              </w:rPr>
            </w:pPr>
          </w:p>
        </w:tc>
        <w:tc>
          <w:tcPr>
            <w:tcW w:w="2413" w:type="dxa"/>
            <w:gridSpan w:val="2"/>
            <w:shd w:val="solid" w:color="FFFFFF" w:fill="FFFFFF"/>
            <w:tcMar>
              <w:top w:w="15" w:type="dxa"/>
              <w:left w:w="15" w:type="dxa"/>
              <w:right w:w="15" w:type="dxa"/>
            </w:tcMar>
            <w:vAlign w:val="center"/>
          </w:tcPr>
          <w:p>
            <w:pPr>
              <w:jc w:val="center"/>
              <w:rPr>
                <w:rFonts w:ascii="FangSong_GB2312" w:hAnsi="宋体" w:eastAsia="FangSong_GB2312" w:cs="FangSong_GB2312"/>
                <w:b/>
                <w:sz w:val="18"/>
                <w:szCs w:val="18"/>
              </w:rPr>
            </w:pPr>
            <w:r>
              <w:rPr>
                <w:rFonts w:ascii="FangSong_GB2312" w:hAnsi="宋体" w:eastAsia="FangSong_GB2312" w:cs="FangSong_GB2312"/>
                <w:b/>
                <w:kern w:val="0"/>
                <w:sz w:val="21"/>
                <w:szCs w:val="21"/>
              </w:rPr>
              <w:t>小计</w:t>
            </w:r>
          </w:p>
        </w:tc>
        <w:tc>
          <w:tcPr>
            <w:tcW w:w="612"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0"/>
                <w:szCs w:val="20"/>
              </w:rPr>
            </w:pPr>
            <w:r>
              <w:rPr>
                <w:rFonts w:ascii="FangSong_GB2312" w:hAnsi="宋体" w:eastAsia="FangSong_GB2312" w:cs="FangSong_GB2312"/>
                <w:b/>
                <w:kern w:val="0"/>
                <w:sz w:val="20"/>
                <w:szCs w:val="20"/>
              </w:rPr>
              <w:t>548</w:t>
            </w:r>
          </w:p>
        </w:tc>
        <w:tc>
          <w:tcPr>
            <w:tcW w:w="538"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0"/>
                <w:szCs w:val="20"/>
              </w:rPr>
            </w:pPr>
            <w:r>
              <w:rPr>
                <w:rFonts w:hint="eastAsia" w:ascii="FangSong_GB2312" w:hAnsi="宋体" w:eastAsia="FangSong_GB2312" w:cs="FangSong_GB2312"/>
                <w:b/>
                <w:kern w:val="0"/>
                <w:sz w:val="20"/>
                <w:szCs w:val="20"/>
              </w:rPr>
              <w:t>60</w:t>
            </w:r>
            <w:r>
              <w:rPr>
                <w:rFonts w:ascii="FangSong_GB2312" w:hAnsi="宋体" w:eastAsia="FangSong_GB2312" w:cs="FangSong_GB2312"/>
                <w:b/>
                <w:kern w:val="0"/>
                <w:sz w:val="20"/>
                <w:szCs w:val="20"/>
              </w:rPr>
              <w:t>0</w:t>
            </w:r>
          </w:p>
        </w:tc>
        <w:tc>
          <w:tcPr>
            <w:tcW w:w="500"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0"/>
                <w:szCs w:val="20"/>
              </w:rPr>
            </w:pPr>
            <w:r>
              <w:rPr>
                <w:rFonts w:hint="eastAsia" w:ascii="FangSong_GB2312" w:hAnsi="宋体" w:eastAsia="FangSong_GB2312" w:cs="FangSong_GB2312"/>
                <w:b/>
                <w:kern w:val="0"/>
                <w:sz w:val="20"/>
                <w:szCs w:val="20"/>
              </w:rPr>
              <w:t>23</w:t>
            </w:r>
            <w:r>
              <w:rPr>
                <w:rFonts w:ascii="FangSong_GB2312" w:hAnsi="宋体" w:eastAsia="FangSong_GB2312" w:cs="FangSong_GB2312"/>
                <w:b/>
                <w:kern w:val="0"/>
                <w:sz w:val="20"/>
                <w:szCs w:val="20"/>
              </w:rPr>
              <w:t>2</w:t>
            </w:r>
          </w:p>
        </w:tc>
        <w:tc>
          <w:tcPr>
            <w:tcW w:w="437"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6</w:t>
            </w:r>
            <w:r>
              <w:rPr>
                <w:rFonts w:hint="eastAsia" w:ascii="FangSong_GB2312" w:hAnsi="宋体" w:eastAsia="FangSong_GB2312" w:cs="FangSong_GB2312"/>
                <w:b/>
                <w:kern w:val="0"/>
                <w:sz w:val="22"/>
                <w:szCs w:val="22"/>
              </w:rPr>
              <w:t>9</w:t>
            </w:r>
          </w:p>
        </w:tc>
        <w:tc>
          <w:tcPr>
            <w:tcW w:w="325" w:type="dxa"/>
            <w:shd w:val="solid" w:color="FFFFFF" w:fill="FFFFFF"/>
            <w:tcMar>
              <w:top w:w="15" w:type="dxa"/>
              <w:left w:w="15" w:type="dxa"/>
              <w:right w:w="15" w:type="dxa"/>
            </w:tcMar>
            <w:vAlign w:val="center"/>
          </w:tcPr>
          <w:p>
            <w:pPr>
              <w:jc w:val="center"/>
              <w:rPr>
                <w:rFonts w:ascii="仿宋" w:hAnsi="仿宋" w:eastAsia="仿宋" w:cs="仿宋"/>
                <w:sz w:val="22"/>
                <w:szCs w:val="22"/>
              </w:rPr>
            </w:pPr>
          </w:p>
        </w:tc>
        <w:tc>
          <w:tcPr>
            <w:tcW w:w="375" w:type="dxa"/>
            <w:shd w:val="solid" w:color="FFFFFF" w:fill="FFFFFF"/>
            <w:tcMar>
              <w:top w:w="15" w:type="dxa"/>
              <w:left w:w="15" w:type="dxa"/>
              <w:right w:w="15" w:type="dxa"/>
            </w:tcMar>
            <w:vAlign w:val="center"/>
          </w:tcPr>
          <w:p>
            <w:pPr>
              <w:jc w:val="center"/>
              <w:rPr>
                <w:rFonts w:ascii="仿宋" w:hAnsi="仿宋" w:eastAsia="仿宋" w:cs="仿宋"/>
                <w:sz w:val="22"/>
                <w:szCs w:val="22"/>
              </w:rPr>
            </w:pPr>
          </w:p>
        </w:tc>
        <w:tc>
          <w:tcPr>
            <w:tcW w:w="383" w:type="dxa"/>
            <w:gridSpan w:val="2"/>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1</w:t>
            </w:r>
            <w:r>
              <w:rPr>
                <w:rFonts w:hint="eastAsia" w:ascii="FangSong_GB2312" w:hAnsi="宋体" w:eastAsia="FangSong_GB2312" w:cs="FangSong_GB2312"/>
                <w:b/>
                <w:kern w:val="0"/>
                <w:sz w:val="22"/>
                <w:szCs w:val="22"/>
              </w:rPr>
              <w:t>2</w:t>
            </w:r>
          </w:p>
        </w:tc>
        <w:tc>
          <w:tcPr>
            <w:tcW w:w="383"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1</w:t>
            </w:r>
            <w:r>
              <w:rPr>
                <w:rFonts w:hint="eastAsia" w:ascii="FangSong_GB2312" w:hAnsi="宋体" w:eastAsia="FangSong_GB2312" w:cs="FangSong_GB2312"/>
                <w:b/>
                <w:kern w:val="0"/>
                <w:sz w:val="22"/>
                <w:szCs w:val="22"/>
              </w:rPr>
              <w:t>2</w:t>
            </w:r>
          </w:p>
        </w:tc>
        <w:tc>
          <w:tcPr>
            <w:tcW w:w="383"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10</w:t>
            </w:r>
          </w:p>
        </w:tc>
        <w:tc>
          <w:tcPr>
            <w:tcW w:w="383"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10</w:t>
            </w:r>
          </w:p>
        </w:tc>
        <w:tc>
          <w:tcPr>
            <w:tcW w:w="383"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2</w:t>
            </w:r>
          </w:p>
        </w:tc>
        <w:tc>
          <w:tcPr>
            <w:tcW w:w="388"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2</w:t>
            </w:r>
          </w:p>
        </w:tc>
        <w:tc>
          <w:tcPr>
            <w:tcW w:w="378" w:type="dxa"/>
            <w:shd w:val="solid" w:color="FFFFFF" w:fill="FFFFFF"/>
            <w:tcMar>
              <w:top w:w="15" w:type="dxa"/>
              <w:left w:w="15" w:type="dxa"/>
              <w:right w:w="15" w:type="dxa"/>
            </w:tcMar>
            <w:vAlign w:val="center"/>
          </w:tcPr>
          <w:p>
            <w:pPr>
              <w:widowControl/>
              <w:jc w:val="center"/>
              <w:textAlignment w:val="center"/>
              <w:rPr>
                <w:rFonts w:ascii="FangSong_GB2312" w:hAnsi="宋体" w:eastAsia="FangSong_GB2312" w:cs="FangSong_GB2312"/>
                <w:b/>
                <w:sz w:val="22"/>
                <w:szCs w:val="22"/>
              </w:rPr>
            </w:pPr>
            <w:r>
              <w:rPr>
                <w:rFonts w:ascii="FangSong_GB2312" w:hAnsi="宋体" w:eastAsia="FangSong_GB2312" w:cs="FangSong_GB2312"/>
                <w:b/>
                <w:kern w:val="0"/>
                <w:sz w:val="22"/>
                <w:szCs w:val="22"/>
              </w:rPr>
              <w:t>6</w:t>
            </w:r>
          </w:p>
        </w:tc>
        <w:tc>
          <w:tcPr>
            <w:tcW w:w="341" w:type="dxa"/>
            <w:shd w:val="solid" w:color="FFFFFF" w:fill="FFFFFF"/>
            <w:tcMar>
              <w:top w:w="15" w:type="dxa"/>
              <w:left w:w="15" w:type="dxa"/>
              <w:right w:w="15" w:type="dxa"/>
            </w:tcMar>
            <w:vAlign w:val="center"/>
          </w:tcPr>
          <w:p>
            <w:pPr>
              <w:widowControl/>
              <w:jc w:val="center"/>
              <w:textAlignment w:val="center"/>
              <w:rPr>
                <w:rFonts w:hint="eastAsia" w:ascii="FangSong_GB2312" w:hAnsi="宋体" w:eastAsia="FangSong_GB2312" w:cs="FangSong_GB2312"/>
                <w:b/>
                <w:sz w:val="22"/>
                <w:szCs w:val="22"/>
                <w:lang w:eastAsia="zh-CN"/>
              </w:rPr>
            </w:pPr>
            <w:r>
              <w:rPr>
                <w:rFonts w:hint="eastAsia" w:ascii="FangSong_GB2312" w:hAnsi="宋体" w:eastAsia="FangSong_GB2312" w:cs="FangSong_GB2312"/>
                <w:b/>
                <w:kern w:val="0"/>
                <w:sz w:val="22"/>
                <w:szCs w:val="22"/>
                <w:lang w:val="en-US" w:eastAsia="zh-CN"/>
              </w:rPr>
              <w:t>6</w:t>
            </w:r>
          </w:p>
        </w:tc>
        <w:tc>
          <w:tcPr>
            <w:tcW w:w="353" w:type="dxa"/>
            <w:shd w:val="solid" w:color="FFFFFF" w:fill="FFFFFF"/>
            <w:tcMar>
              <w:top w:w="15" w:type="dxa"/>
              <w:left w:w="15" w:type="dxa"/>
              <w:right w:w="15" w:type="dxa"/>
            </w:tcMar>
            <w:vAlign w:val="center"/>
          </w:tcPr>
          <w:p>
            <w:pPr>
              <w:widowControl/>
              <w:jc w:val="center"/>
              <w:textAlignment w:val="center"/>
              <w:rPr>
                <w:rFonts w:hint="eastAsia" w:ascii="FangSong_GB2312" w:hAnsi="宋体" w:eastAsia="FangSong_GB2312" w:cs="FangSong_GB2312"/>
                <w:b/>
                <w:sz w:val="22"/>
                <w:szCs w:val="22"/>
                <w:lang w:eastAsia="zh-CN"/>
              </w:rPr>
            </w:pPr>
            <w:r>
              <w:rPr>
                <w:rFonts w:hint="eastAsia" w:ascii="FangSong_GB2312" w:hAnsi="宋体" w:eastAsia="FangSong_GB2312" w:cs="FangSong_GB2312"/>
                <w:b/>
                <w:kern w:val="0"/>
                <w:sz w:val="22"/>
                <w:szCs w:val="22"/>
                <w:lang w:val="en-US" w:eastAsia="zh-CN"/>
              </w:rPr>
              <w:t>0</w:t>
            </w:r>
          </w:p>
        </w:tc>
        <w:tc>
          <w:tcPr>
            <w:tcW w:w="455" w:type="dxa"/>
            <w:shd w:val="solid" w:color="FFFFFF" w:fill="FFFFFF"/>
            <w:tcMar>
              <w:top w:w="15" w:type="dxa"/>
              <w:left w:w="15" w:type="dxa"/>
              <w:right w:w="15" w:type="dxa"/>
            </w:tcMar>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2"/>
                <w:szCs w:val="22"/>
              </w:rPr>
            </w:pPr>
            <w:r>
              <w:rPr>
                <w:rFonts w:hint="eastAsia" w:ascii="仿宋" w:hAnsi="仿宋" w:eastAsia="仿宋" w:cs="仿宋"/>
                <w:kern w:val="0"/>
                <w:sz w:val="22"/>
                <w:szCs w:val="22"/>
              </w:rPr>
              <w:t>专业基础课程</w:t>
            </w: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汽车零部件识图</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汽车文化</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36</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3</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电工原理</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54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4</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汽车新技术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16</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5</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液压与气动技术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sz w:val="21"/>
                <w:szCs w:val="21"/>
              </w:rPr>
              <w:t>60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50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6</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汽车机械基础</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sz w:val="21"/>
                <w:szCs w:val="21"/>
              </w:rPr>
              <w:t>60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50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7</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CAXA</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8</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汽车配件管理</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15</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15</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9</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汽车电子技术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70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10</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汽车发动机构造</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11</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汽车底盘构造</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241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b/>
                <w:bCs/>
                <w:kern w:val="0"/>
                <w:sz w:val="21"/>
                <w:szCs w:val="21"/>
              </w:rPr>
              <w:t>小计</w:t>
            </w:r>
          </w:p>
        </w:tc>
        <w:tc>
          <w:tcPr>
            <w:tcW w:w="612"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kern w:val="0"/>
                <w:sz w:val="21"/>
                <w:szCs w:val="21"/>
              </w:rPr>
            </w:pPr>
            <w:r>
              <w:rPr>
                <w:rFonts w:hint="eastAsia" w:ascii="仿宋" w:hAnsi="仿宋" w:eastAsia="仿宋" w:cs="仿宋"/>
                <w:b/>
                <w:kern w:val="0"/>
                <w:sz w:val="21"/>
                <w:szCs w:val="21"/>
              </w:rPr>
              <w:t>525</w:t>
            </w:r>
          </w:p>
        </w:tc>
        <w:tc>
          <w:tcPr>
            <w:tcW w:w="538"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kern w:val="0"/>
                <w:sz w:val="21"/>
                <w:szCs w:val="21"/>
              </w:rPr>
            </w:pPr>
            <w:r>
              <w:rPr>
                <w:rFonts w:hint="eastAsia" w:ascii="仿宋" w:hAnsi="仿宋" w:eastAsia="仿宋" w:cs="仿宋"/>
                <w:b/>
                <w:kern w:val="0"/>
                <w:sz w:val="21"/>
                <w:szCs w:val="21"/>
              </w:rPr>
              <w:t>435</w:t>
            </w:r>
          </w:p>
        </w:tc>
        <w:tc>
          <w:tcPr>
            <w:tcW w:w="500"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kern w:val="0"/>
                <w:sz w:val="21"/>
                <w:szCs w:val="21"/>
              </w:rPr>
            </w:pPr>
            <w:r>
              <w:rPr>
                <w:rFonts w:hint="eastAsia" w:ascii="仿宋" w:hAnsi="仿宋" w:eastAsia="仿宋" w:cs="仿宋"/>
                <w:b/>
                <w:kern w:val="0"/>
                <w:sz w:val="21"/>
                <w:szCs w:val="21"/>
              </w:rPr>
              <w:t>120</w:t>
            </w:r>
          </w:p>
        </w:tc>
        <w:tc>
          <w:tcPr>
            <w:tcW w:w="43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kern w:val="0"/>
                <w:sz w:val="21"/>
                <w:szCs w:val="21"/>
              </w:rPr>
            </w:pPr>
            <w:r>
              <w:rPr>
                <w:rFonts w:hint="eastAsia" w:ascii="仿宋" w:hAnsi="仿宋" w:eastAsia="仿宋" w:cs="仿宋"/>
                <w:b/>
                <w:kern w:val="0"/>
                <w:sz w:val="21"/>
                <w:szCs w:val="21"/>
              </w:rPr>
              <w:t>54</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14</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14</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6</w:t>
            </w:r>
          </w:p>
        </w:tc>
        <w:tc>
          <w:tcPr>
            <w:tcW w:w="38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4</w:t>
            </w: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专业核心课程</w:t>
            </w: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汽车电器设备</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70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74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53"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汽车故障诊断技术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50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汽车发动机电控技术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汽车发动机检测与维修</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50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41"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5</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汽车底盘检测与维修</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50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5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6</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汽车维护与保养</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70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12</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7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7</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sz w:val="21"/>
                <w:szCs w:val="21"/>
              </w:rPr>
            </w:pPr>
            <w:r>
              <w:rPr>
                <w:rFonts w:hint="eastAsia" w:ascii="仿宋" w:hAnsi="仿宋" w:eastAsia="仿宋" w:cs="仿宋"/>
                <w:kern w:val="0"/>
                <w:sz w:val="21"/>
                <w:szCs w:val="21"/>
              </w:rPr>
              <w:t>汽车底盘电控技术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15</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15</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10</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汽车钣金修复</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50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64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25"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kern w:val="0"/>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41"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汽车喷涂技术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50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64</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25"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kern w:val="0"/>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kern w:val="0"/>
                <w:sz w:val="21"/>
                <w:szCs w:val="21"/>
              </w:rPr>
            </w:pPr>
          </w:p>
        </w:tc>
        <w:tc>
          <w:tcPr>
            <w:tcW w:w="341"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53" w:type="dxa"/>
            <w:shd w:val="solid" w:color="FFFFFF" w:fill="FFFFFF"/>
            <w:noWrap/>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241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b/>
                <w:bCs/>
                <w:kern w:val="0"/>
                <w:sz w:val="21"/>
                <w:szCs w:val="21"/>
              </w:rPr>
              <w:t>小计</w:t>
            </w:r>
          </w:p>
        </w:tc>
        <w:tc>
          <w:tcPr>
            <w:tcW w:w="612"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415</w:t>
            </w:r>
          </w:p>
        </w:tc>
        <w:tc>
          <w:tcPr>
            <w:tcW w:w="538"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509</w:t>
            </w:r>
          </w:p>
        </w:tc>
        <w:tc>
          <w:tcPr>
            <w:tcW w:w="500"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76</w:t>
            </w:r>
          </w:p>
        </w:tc>
        <w:tc>
          <w:tcPr>
            <w:tcW w:w="43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56</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4</w:t>
            </w:r>
          </w:p>
        </w:tc>
        <w:tc>
          <w:tcPr>
            <w:tcW w:w="38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w:t>
            </w: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14</w:t>
            </w: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sz w:val="21"/>
                <w:szCs w:val="21"/>
              </w:rPr>
              <w:t>12</w:t>
            </w:r>
          </w:p>
        </w:tc>
        <w:tc>
          <w:tcPr>
            <w:tcW w:w="353"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18</w:t>
            </w: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专业拓展课程</w:t>
            </w: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汽车保险理赔</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32</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汽车营销实务</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32</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7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w:t>
            </w: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新能源汽车</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32</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4</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汽车运输管理</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25</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sz w:val="21"/>
                <w:szCs w:val="21"/>
              </w:rPr>
              <w:t>11</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5</w:t>
            </w:r>
          </w:p>
        </w:tc>
        <w:tc>
          <w:tcPr>
            <w:tcW w:w="1966" w:type="dxa"/>
            <w:shd w:val="solid" w:color="FFFFFF" w:fill="FFFFFF"/>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汽车美容技术</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35</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37</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6</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二手车鉴定与评估</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30</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42</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437"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w:t>
            </w: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241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b/>
                <w:bCs/>
                <w:kern w:val="0"/>
                <w:sz w:val="21"/>
                <w:szCs w:val="21"/>
              </w:rPr>
              <w:t>小计</w:t>
            </w:r>
          </w:p>
        </w:tc>
        <w:tc>
          <w:tcPr>
            <w:tcW w:w="612"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270</w:t>
            </w:r>
          </w:p>
        </w:tc>
        <w:tc>
          <w:tcPr>
            <w:tcW w:w="538"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234</w:t>
            </w:r>
          </w:p>
        </w:tc>
        <w:tc>
          <w:tcPr>
            <w:tcW w:w="500"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60</w:t>
            </w:r>
          </w:p>
        </w:tc>
        <w:tc>
          <w:tcPr>
            <w:tcW w:w="43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28</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6</w:t>
            </w:r>
          </w:p>
        </w:tc>
        <w:tc>
          <w:tcPr>
            <w:tcW w:w="383"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6</w:t>
            </w: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w:t>
            </w:r>
          </w:p>
        </w:tc>
        <w:tc>
          <w:tcPr>
            <w:tcW w:w="38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6</w:t>
            </w:r>
          </w:p>
        </w:tc>
        <w:tc>
          <w:tcPr>
            <w:tcW w:w="37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w:t>
            </w:r>
          </w:p>
        </w:tc>
        <w:tc>
          <w:tcPr>
            <w:tcW w:w="341"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p>
        </w:tc>
        <w:tc>
          <w:tcPr>
            <w:tcW w:w="35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综合实践课程</w:t>
            </w:r>
          </w:p>
        </w:tc>
        <w:tc>
          <w:tcPr>
            <w:tcW w:w="44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1966" w:type="dxa"/>
            <w:shd w:val="solid" w:color="FFFFFF" w:fill="FFFFFF"/>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劳动教育</w:t>
            </w:r>
          </w:p>
        </w:tc>
        <w:tc>
          <w:tcPr>
            <w:tcW w:w="612"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538"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40</w:t>
            </w:r>
          </w:p>
        </w:tc>
        <w:tc>
          <w:tcPr>
            <w:tcW w:w="437"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41"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15"/>
                <w:szCs w:val="15"/>
              </w:rPr>
            </w:pPr>
            <w:r>
              <w:rPr>
                <w:rFonts w:hint="eastAsia" w:ascii="仿宋" w:hAnsi="仿宋" w:eastAsia="仿宋" w:cs="仿宋"/>
                <w:kern w:val="0"/>
                <w:sz w:val="15"/>
                <w:szCs w:val="15"/>
              </w:rPr>
              <w:t>2周</w:t>
            </w: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1966" w:type="dxa"/>
            <w:shd w:val="solid" w:color="FFFFFF" w:fill="FFFFFF"/>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认知实习（万用表焊接）</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8</w:t>
            </w: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12</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437"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15"/>
                <w:szCs w:val="15"/>
              </w:rPr>
            </w:pPr>
            <w:r>
              <w:rPr>
                <w:rFonts w:hint="eastAsia" w:ascii="仿宋" w:hAnsi="仿宋" w:eastAsia="仿宋" w:cs="仿宋"/>
                <w:kern w:val="0"/>
                <w:sz w:val="15"/>
                <w:szCs w:val="15"/>
              </w:rPr>
              <w:t>1周</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1966" w:type="dxa"/>
            <w:shd w:val="solid" w:color="FFFFFF" w:fill="FFFFFF"/>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18"/>
                <w:szCs w:val="18"/>
              </w:rPr>
              <w:t>跟岗实习（金工实训、企业实践）</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sz w:val="21"/>
                <w:szCs w:val="21"/>
              </w:rPr>
              <w:t>80</w:t>
            </w: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437"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15"/>
                <w:szCs w:val="15"/>
              </w:rPr>
            </w:pPr>
            <w:r>
              <w:rPr>
                <w:rFonts w:hint="eastAsia" w:ascii="仿宋" w:hAnsi="仿宋" w:eastAsia="仿宋" w:cs="仿宋"/>
                <w:kern w:val="0"/>
                <w:sz w:val="15"/>
                <w:szCs w:val="15"/>
              </w:rPr>
              <w:t>1周</w:t>
            </w: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15"/>
                <w:szCs w:val="15"/>
              </w:rPr>
            </w:pPr>
            <w:r>
              <w:rPr>
                <w:rFonts w:hint="eastAsia" w:ascii="仿宋" w:hAnsi="仿宋" w:eastAsia="仿宋" w:cs="仿宋"/>
                <w:kern w:val="0"/>
                <w:sz w:val="15"/>
                <w:szCs w:val="15"/>
              </w:rPr>
              <w:t>1周</w:t>
            </w: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15"/>
                <w:szCs w:val="15"/>
              </w:rPr>
            </w:pPr>
            <w:r>
              <w:rPr>
                <w:rFonts w:hint="eastAsia" w:ascii="仿宋" w:hAnsi="仿宋" w:eastAsia="仿宋" w:cs="仿宋"/>
                <w:kern w:val="0"/>
                <w:sz w:val="15"/>
                <w:szCs w:val="15"/>
              </w:rPr>
              <w:t>1周</w:t>
            </w:r>
          </w:p>
        </w:tc>
        <w:tc>
          <w:tcPr>
            <w:tcW w:w="38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15"/>
                <w:szCs w:val="15"/>
              </w:rPr>
            </w:pPr>
            <w:r>
              <w:rPr>
                <w:rFonts w:hint="eastAsia" w:ascii="仿宋" w:hAnsi="仿宋" w:eastAsia="仿宋" w:cs="仿宋"/>
                <w:kern w:val="0"/>
                <w:sz w:val="15"/>
                <w:szCs w:val="15"/>
              </w:rPr>
              <w:t>1周</w:t>
            </w:r>
          </w:p>
        </w:tc>
        <w:tc>
          <w:tcPr>
            <w:tcW w:w="38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15"/>
                <w:szCs w:val="15"/>
              </w:rPr>
            </w:pPr>
            <w:r>
              <w:rPr>
                <w:rFonts w:hint="eastAsia" w:ascii="仿宋" w:hAnsi="仿宋" w:eastAsia="仿宋" w:cs="仿宋"/>
                <w:kern w:val="0"/>
                <w:sz w:val="15"/>
                <w:szCs w:val="15"/>
              </w:rPr>
              <w:t>1周</w:t>
            </w:r>
          </w:p>
        </w:tc>
        <w:tc>
          <w:tcPr>
            <w:tcW w:w="37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15"/>
                <w:szCs w:val="15"/>
              </w:rPr>
            </w:pPr>
            <w:r>
              <w:rPr>
                <w:rFonts w:hint="eastAsia" w:ascii="仿宋" w:hAnsi="仿宋" w:eastAsia="仿宋" w:cs="仿宋"/>
                <w:kern w:val="0"/>
                <w:sz w:val="15"/>
                <w:szCs w:val="15"/>
              </w:rPr>
              <w:t>1周</w:t>
            </w:r>
          </w:p>
        </w:tc>
        <w:tc>
          <w:tcPr>
            <w:tcW w:w="341"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15"/>
                <w:szCs w:val="15"/>
              </w:rPr>
            </w:pPr>
            <w:r>
              <w:rPr>
                <w:rFonts w:hint="eastAsia" w:ascii="仿宋" w:hAnsi="仿宋" w:eastAsia="仿宋" w:cs="仿宋"/>
                <w:kern w:val="0"/>
                <w:sz w:val="15"/>
                <w:szCs w:val="15"/>
              </w:rPr>
              <w:t>1周</w:t>
            </w:r>
          </w:p>
        </w:tc>
        <w:tc>
          <w:tcPr>
            <w:tcW w:w="353"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15"/>
                <w:szCs w:val="15"/>
              </w:rPr>
            </w:pPr>
            <w:r>
              <w:rPr>
                <w:rFonts w:hint="eastAsia" w:ascii="仿宋" w:hAnsi="仿宋" w:eastAsia="仿宋" w:cs="仿宋"/>
                <w:kern w:val="0"/>
                <w:sz w:val="15"/>
                <w:szCs w:val="15"/>
              </w:rPr>
              <w:t>1周</w:t>
            </w:r>
          </w:p>
        </w:tc>
        <w:tc>
          <w:tcPr>
            <w:tcW w:w="455"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1966" w:type="dxa"/>
            <w:shd w:val="solid" w:color="FFFFFF" w:fill="FFFFFF"/>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毕业设计</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60</w:t>
            </w:r>
          </w:p>
        </w:tc>
        <w:tc>
          <w:tcPr>
            <w:tcW w:w="437"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15"/>
                <w:szCs w:val="15"/>
              </w:rPr>
            </w:pPr>
          </w:p>
        </w:tc>
        <w:tc>
          <w:tcPr>
            <w:tcW w:w="455"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15"/>
                <w:szCs w:val="15"/>
              </w:rPr>
            </w:pPr>
            <w:r>
              <w:rPr>
                <w:rFonts w:hint="eastAsia" w:ascii="仿宋" w:hAnsi="仿宋" w:eastAsia="仿宋" w:cs="仿宋"/>
                <w:kern w:val="0"/>
                <w:sz w:val="11"/>
                <w:szCs w:val="11"/>
              </w:rPr>
              <w:t>后5周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447"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5</w:t>
            </w:r>
          </w:p>
        </w:tc>
        <w:tc>
          <w:tcPr>
            <w:tcW w:w="1966" w:type="dxa"/>
            <w:shd w:val="solid" w:color="FFFFFF" w:fill="FFFFFF"/>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顶岗实习</w:t>
            </w:r>
          </w:p>
        </w:tc>
        <w:tc>
          <w:tcPr>
            <w:tcW w:w="612"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538"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p>
        </w:tc>
        <w:tc>
          <w:tcPr>
            <w:tcW w:w="500" w:type="dxa"/>
            <w:shd w:val="solid" w:color="FFFFFF" w:fill="FFFFFF"/>
            <w:tcMar>
              <w:top w:w="15" w:type="dxa"/>
              <w:left w:w="15" w:type="dxa"/>
              <w:right w:w="15" w:type="dxa"/>
            </w:tcMar>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160</w:t>
            </w:r>
          </w:p>
        </w:tc>
        <w:tc>
          <w:tcPr>
            <w:tcW w:w="437"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w:t>
            </w: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78"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41"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353" w:type="dxa"/>
            <w:shd w:val="solid" w:color="FFFFFF" w:fill="FFFFFF"/>
            <w:tcMar>
              <w:top w:w="15" w:type="dxa"/>
              <w:left w:w="15" w:type="dxa"/>
              <w:right w:w="15" w:type="dxa"/>
            </w:tcMar>
            <w:vAlign w:val="center"/>
          </w:tcPr>
          <w:p>
            <w:pPr>
              <w:jc w:val="center"/>
              <w:rPr>
                <w:rFonts w:hint="eastAsia" w:ascii="仿宋" w:hAnsi="仿宋" w:eastAsia="仿宋" w:cs="仿宋"/>
                <w:sz w:val="15"/>
                <w:szCs w:val="15"/>
              </w:rPr>
            </w:pPr>
          </w:p>
        </w:tc>
        <w:tc>
          <w:tcPr>
            <w:tcW w:w="455"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15"/>
                <w:szCs w:val="15"/>
              </w:rPr>
            </w:pPr>
            <w:r>
              <w:rPr>
                <w:rFonts w:hint="eastAsia" w:ascii="仿宋" w:hAnsi="仿宋" w:eastAsia="仿宋" w:cs="仿宋"/>
                <w:kern w:val="0"/>
                <w:sz w:val="15"/>
                <w:szCs w:val="15"/>
              </w:rPr>
              <w:t>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2413" w:type="dxa"/>
            <w:gridSpan w:val="2"/>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b/>
                <w:bCs/>
                <w:kern w:val="0"/>
                <w:sz w:val="24"/>
              </w:rPr>
              <w:t>小计</w:t>
            </w:r>
          </w:p>
        </w:tc>
        <w:tc>
          <w:tcPr>
            <w:tcW w:w="612" w:type="dxa"/>
            <w:shd w:val="solid" w:color="FFFFFF" w:fill="FFFFFF"/>
            <w:noWrap/>
            <w:tcMar>
              <w:top w:w="15" w:type="dxa"/>
              <w:left w:w="15" w:type="dxa"/>
              <w:right w:w="15" w:type="dxa"/>
            </w:tcMar>
            <w:vAlign w:val="center"/>
          </w:tcPr>
          <w:p>
            <w:pPr>
              <w:jc w:val="center"/>
              <w:rPr>
                <w:rFonts w:ascii="宋体" w:hAnsi="宋体" w:cs="宋体" w:eastAsiaTheme="minorEastAsia"/>
                <w:b/>
                <w:sz w:val="20"/>
                <w:szCs w:val="20"/>
              </w:rPr>
            </w:pPr>
            <w:r>
              <w:rPr>
                <w:rFonts w:hint="eastAsia" w:ascii="宋体" w:hAnsi="宋体" w:cs="宋体" w:eastAsiaTheme="minorEastAsia"/>
                <w:b/>
                <w:sz w:val="20"/>
                <w:szCs w:val="20"/>
              </w:rPr>
              <w:t>8</w:t>
            </w:r>
          </w:p>
        </w:tc>
        <w:tc>
          <w:tcPr>
            <w:tcW w:w="538" w:type="dxa"/>
            <w:shd w:val="solid" w:color="FFFFFF" w:fill="FFFFFF"/>
            <w:noWrap/>
            <w:tcMar>
              <w:top w:w="15" w:type="dxa"/>
              <w:left w:w="15" w:type="dxa"/>
              <w:right w:w="15" w:type="dxa"/>
            </w:tcMar>
            <w:vAlign w:val="center"/>
          </w:tcPr>
          <w:p>
            <w:pPr>
              <w:jc w:val="center"/>
              <w:rPr>
                <w:rFonts w:ascii="宋体" w:hAnsi="宋体" w:cs="宋体" w:eastAsiaTheme="minorEastAsia"/>
                <w:b/>
                <w:sz w:val="20"/>
                <w:szCs w:val="20"/>
              </w:rPr>
            </w:pPr>
            <w:r>
              <w:rPr>
                <w:rFonts w:hint="eastAsia" w:ascii="宋体" w:hAnsi="宋体" w:cs="宋体" w:eastAsiaTheme="minorEastAsia"/>
                <w:b/>
                <w:sz w:val="20"/>
                <w:szCs w:val="20"/>
              </w:rPr>
              <w:t>92</w:t>
            </w: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b/>
                <w:sz w:val="20"/>
                <w:szCs w:val="20"/>
              </w:rPr>
            </w:pPr>
            <w:r>
              <w:rPr>
                <w:rFonts w:hint="eastAsia" w:ascii="宋体" w:hAnsi="宋体" w:cs="宋体" w:eastAsiaTheme="minorEastAsia"/>
                <w:b/>
                <w:sz w:val="20"/>
                <w:szCs w:val="20"/>
              </w:rPr>
              <w:t>260</w:t>
            </w:r>
          </w:p>
        </w:tc>
        <w:tc>
          <w:tcPr>
            <w:tcW w:w="437" w:type="dxa"/>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r>
              <w:rPr>
                <w:rFonts w:hint="eastAsia" w:ascii="宋体" w:hAnsi="宋体" w:cs="宋体" w:eastAsiaTheme="minorEastAsia"/>
                <w:b/>
                <w:sz w:val="22"/>
                <w:szCs w:val="22"/>
              </w:rPr>
              <w:t>18</w:t>
            </w:r>
          </w:p>
        </w:tc>
        <w:tc>
          <w:tcPr>
            <w:tcW w:w="32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8"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78"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color w:val="0000FF"/>
                <w:sz w:val="21"/>
                <w:szCs w:val="21"/>
              </w:rPr>
            </w:pPr>
            <w:r>
              <w:rPr>
                <w:rFonts w:hint="eastAsia" w:ascii="仿宋" w:hAnsi="仿宋" w:eastAsia="仿宋" w:cs="仿宋"/>
                <w:kern w:val="0"/>
                <w:sz w:val="21"/>
                <w:szCs w:val="21"/>
              </w:rPr>
              <w:t>选</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修</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课</w:t>
            </w:r>
          </w:p>
        </w:tc>
        <w:tc>
          <w:tcPr>
            <w:tcW w:w="362" w:type="dxa"/>
            <w:shd w:val="solid" w:color="FFFFFF" w:fill="FFFFFF"/>
            <w:tcMar>
              <w:top w:w="15" w:type="dxa"/>
              <w:left w:w="15" w:type="dxa"/>
              <w:right w:w="15" w:type="dxa"/>
            </w:tcMar>
            <w:vAlign w:val="center"/>
          </w:tcPr>
          <w:p>
            <w:pPr>
              <w:widowControl/>
              <w:ind w:firstLine="630" w:firstLineChars="300"/>
              <w:jc w:val="left"/>
              <w:textAlignment w:val="center"/>
              <w:rPr>
                <w:rFonts w:hint="eastAsia" w:ascii="仿宋" w:hAnsi="仿宋" w:eastAsia="仿宋" w:cs="仿宋"/>
                <w:kern w:val="0"/>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宋体" w:hAnsi="宋体" w:cs="宋体" w:eastAsiaTheme="minorEastAsia"/>
                <w:kern w:val="2"/>
                <w:sz w:val="22"/>
                <w:szCs w:val="22"/>
                <w:lang w:val="en-US" w:eastAsia="zh-CN" w:bidi="ar-SA"/>
              </w:rPr>
            </w:pPr>
            <w:r>
              <w:rPr>
                <w:rFonts w:hint="eastAsia" w:ascii="宋体" w:hAnsi="宋体" w:cs="宋体" w:eastAsiaTheme="minorEastAsia"/>
                <w:kern w:val="0"/>
                <w:sz w:val="22"/>
                <w:szCs w:val="22"/>
              </w:rPr>
              <w:t>1</w:t>
            </w:r>
          </w:p>
        </w:tc>
        <w:tc>
          <w:tcPr>
            <w:tcW w:w="1966" w:type="dxa"/>
            <w:shd w:val="solid" w:color="FFFFFF" w:fill="FFFFFF"/>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专业选修课程</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sz w:val="21"/>
                <w:szCs w:val="21"/>
              </w:rPr>
              <w:t>180</w:t>
            </w:r>
          </w:p>
        </w:tc>
        <w:tc>
          <w:tcPr>
            <w:tcW w:w="538" w:type="dxa"/>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kern w:val="0"/>
                <w:sz w:val="21"/>
                <w:szCs w:val="21"/>
              </w:rPr>
            </w:pPr>
            <w:r>
              <w:rPr>
                <w:rFonts w:hint="eastAsia" w:ascii="仿宋" w:hAnsi="仿宋" w:eastAsia="仿宋" w:cs="仿宋"/>
                <w:b/>
                <w:sz w:val="21"/>
                <w:szCs w:val="21"/>
              </w:rPr>
              <w:t>180</w:t>
            </w:r>
          </w:p>
        </w:tc>
        <w:tc>
          <w:tcPr>
            <w:tcW w:w="500"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b/>
                <w:bCs/>
                <w:kern w:val="0"/>
                <w:sz w:val="21"/>
                <w:szCs w:val="21"/>
              </w:rPr>
              <w:t>18</w:t>
            </w:r>
          </w:p>
        </w:tc>
        <w:tc>
          <w:tcPr>
            <w:tcW w:w="325" w:type="dxa"/>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375" w:type="dxa"/>
            <w:shd w:val="solid" w:color="FFFFFF" w:fill="FFFFFF"/>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83" w:type="dxa"/>
            <w:shd w:val="solid" w:color="FFFFFF" w:fill="FFFFFF"/>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388" w:type="dxa"/>
            <w:shd w:val="solid" w:color="FFFFFF" w:fill="FFFFFF"/>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color w:val="0000FF"/>
                <w:sz w:val="21"/>
                <w:szCs w:val="21"/>
              </w:rPr>
            </w:pPr>
          </w:p>
        </w:tc>
        <w:tc>
          <w:tcPr>
            <w:tcW w:w="362" w:type="dxa"/>
            <w:shd w:val="solid" w:color="FFFFFF" w:fill="FFFFFF"/>
            <w:tcMar>
              <w:top w:w="15" w:type="dxa"/>
              <w:left w:w="15" w:type="dxa"/>
              <w:right w:w="15" w:type="dxa"/>
            </w:tcMar>
            <w:vAlign w:val="center"/>
          </w:tcPr>
          <w:p>
            <w:pPr>
              <w:widowControl/>
              <w:ind w:firstLine="630" w:firstLineChars="300"/>
              <w:jc w:val="left"/>
              <w:textAlignment w:val="center"/>
              <w:rPr>
                <w:rFonts w:hint="eastAsia" w:ascii="仿宋" w:hAnsi="仿宋" w:eastAsia="仿宋" w:cs="仿宋"/>
                <w:kern w:val="0"/>
                <w:sz w:val="21"/>
                <w:szCs w:val="21"/>
              </w:rPr>
            </w:pPr>
          </w:p>
        </w:tc>
        <w:tc>
          <w:tcPr>
            <w:tcW w:w="447" w:type="dxa"/>
            <w:shd w:val="solid" w:color="FFFFFF" w:fill="FFFFFF"/>
            <w:tcMar>
              <w:top w:w="15" w:type="dxa"/>
              <w:left w:w="15" w:type="dxa"/>
              <w:right w:w="15" w:type="dxa"/>
            </w:tcMar>
            <w:vAlign w:val="center"/>
          </w:tcPr>
          <w:p>
            <w:pPr>
              <w:widowControl/>
              <w:jc w:val="center"/>
              <w:textAlignment w:val="center"/>
              <w:rPr>
                <w:rFonts w:hint="eastAsia" w:ascii="宋体" w:hAnsi="宋体" w:cs="宋体" w:eastAsiaTheme="minorEastAsia"/>
                <w:kern w:val="2"/>
                <w:sz w:val="22"/>
                <w:szCs w:val="22"/>
                <w:lang w:val="en-US" w:eastAsia="zh-CN" w:bidi="ar-SA"/>
              </w:rPr>
            </w:pPr>
            <w:r>
              <w:rPr>
                <w:rFonts w:hint="eastAsia" w:ascii="宋体" w:hAnsi="宋体" w:cs="宋体" w:eastAsiaTheme="minorEastAsia"/>
                <w:kern w:val="0"/>
                <w:sz w:val="22"/>
                <w:szCs w:val="22"/>
              </w:rPr>
              <w:t>2</w:t>
            </w:r>
          </w:p>
        </w:tc>
        <w:tc>
          <w:tcPr>
            <w:tcW w:w="1966" w:type="dxa"/>
            <w:shd w:val="solid" w:color="FFFFFF" w:fill="FFFFFF"/>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公共选修课程</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80</w:t>
            </w:r>
          </w:p>
        </w:tc>
        <w:tc>
          <w:tcPr>
            <w:tcW w:w="500" w:type="dxa"/>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color w:val="0000FF"/>
                <w:sz w:val="21"/>
                <w:szCs w:val="21"/>
              </w:rPr>
            </w:pPr>
          </w:p>
        </w:tc>
        <w:tc>
          <w:tcPr>
            <w:tcW w:w="2775" w:type="dxa"/>
            <w:gridSpan w:val="3"/>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b/>
                <w:bCs/>
                <w:kern w:val="0"/>
                <w:sz w:val="21"/>
                <w:szCs w:val="21"/>
              </w:rPr>
              <w:t>小计</w:t>
            </w:r>
          </w:p>
        </w:tc>
        <w:tc>
          <w:tcPr>
            <w:tcW w:w="612"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180</w:t>
            </w:r>
          </w:p>
        </w:tc>
        <w:tc>
          <w:tcPr>
            <w:tcW w:w="538"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180</w:t>
            </w:r>
          </w:p>
        </w:tc>
        <w:tc>
          <w:tcPr>
            <w:tcW w:w="500" w:type="dxa"/>
            <w:shd w:val="solid" w:color="FFFFFF" w:fill="FFFFFF"/>
            <w:tcMar>
              <w:top w:w="15" w:type="dxa"/>
              <w:left w:w="15" w:type="dxa"/>
              <w:right w:w="15" w:type="dxa"/>
            </w:tcMar>
            <w:vAlign w:val="center"/>
          </w:tcPr>
          <w:p>
            <w:pPr>
              <w:jc w:val="center"/>
              <w:rPr>
                <w:rFonts w:hint="eastAsia" w:ascii="仿宋" w:hAnsi="仿宋" w:eastAsia="仿宋" w:cs="仿宋"/>
                <w:b/>
                <w:sz w:val="21"/>
                <w:szCs w:val="21"/>
              </w:rPr>
            </w:pPr>
          </w:p>
        </w:tc>
        <w:tc>
          <w:tcPr>
            <w:tcW w:w="437" w:type="dxa"/>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26</w:t>
            </w:r>
          </w:p>
        </w:tc>
        <w:tc>
          <w:tcPr>
            <w:tcW w:w="32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p>
        </w:tc>
        <w:tc>
          <w:tcPr>
            <w:tcW w:w="383" w:type="dxa"/>
            <w:gridSpan w:val="2"/>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3</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3</w:t>
            </w:r>
          </w:p>
        </w:tc>
        <w:tc>
          <w:tcPr>
            <w:tcW w:w="38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4</w:t>
            </w:r>
          </w:p>
        </w:tc>
        <w:tc>
          <w:tcPr>
            <w:tcW w:w="388"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4</w:t>
            </w:r>
          </w:p>
        </w:tc>
        <w:tc>
          <w:tcPr>
            <w:tcW w:w="378"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3</w:t>
            </w:r>
          </w:p>
        </w:tc>
        <w:tc>
          <w:tcPr>
            <w:tcW w:w="341"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3</w:t>
            </w:r>
          </w:p>
        </w:tc>
        <w:tc>
          <w:tcPr>
            <w:tcW w:w="353" w:type="dxa"/>
            <w:shd w:val="solid" w:color="FFFFFF" w:fill="FFFFFF"/>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w:t>
            </w:r>
          </w:p>
        </w:tc>
        <w:tc>
          <w:tcPr>
            <w:tcW w:w="455" w:type="dxa"/>
            <w:shd w:val="solid" w:color="FFFFFF" w:fill="FFFFFF"/>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582" w:hRule="atLeast"/>
          <w:jc w:val="center"/>
        </w:trPr>
        <w:tc>
          <w:tcPr>
            <w:tcW w:w="406"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必</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修</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课</w:t>
            </w:r>
          </w:p>
        </w:tc>
        <w:tc>
          <w:tcPr>
            <w:tcW w:w="362" w:type="dxa"/>
            <w:vMerge w:val="restart"/>
            <w:shd w:val="solid" w:color="FFFFFF" w:fill="FFFFFF"/>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专业技能达标</w:t>
            </w: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1</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汽车零部件认识、汽车品牌文化认识、</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20</w:t>
            </w: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83"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83"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88"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8"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41"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53"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61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2</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汽车材料认识、汽车密封常用方法</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7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49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3</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汽车日常维护、发动机结构认知</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7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49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4</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汽车二级维护、底盘结构认知</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7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49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5</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活塞连杆组拆装、发动机电控检修</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8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7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49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6</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冷却系统检修、润滑系统检修</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7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0" w:type="dxa"/>
            <w:bottom w:w="0" w:type="dxa"/>
            <w:right w:w="0" w:type="dxa"/>
          </w:tblCellMar>
        </w:tblPrEx>
        <w:trPr>
          <w:trHeight w:val="49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7</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汽车蓄电池充电、发电机更换、</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7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8</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汽车照明系统检修、火花塞检查与维护、</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7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41"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35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406" w:type="dxa"/>
            <w:vMerge w:val="continue"/>
            <w:shd w:val="solid" w:color="FFFFFF" w:fill="FFFFFF"/>
            <w:tcMar>
              <w:top w:w="15" w:type="dxa"/>
              <w:left w:w="15" w:type="dxa"/>
              <w:right w:w="15" w:type="dxa"/>
            </w:tcMar>
            <w:vAlign w:val="center"/>
          </w:tcPr>
          <w:p>
            <w:pPr>
              <w:jc w:val="center"/>
              <w:rPr>
                <w:rFonts w:ascii="宋体" w:hAnsi="宋体" w:cs="宋体" w:eastAsiaTheme="minorEastAsia"/>
                <w:sz w:val="22"/>
                <w:szCs w:val="22"/>
              </w:rPr>
            </w:pPr>
          </w:p>
        </w:tc>
        <w:tc>
          <w:tcPr>
            <w:tcW w:w="362" w:type="dxa"/>
            <w:vMerge w:val="continue"/>
            <w:shd w:val="solid" w:color="FFFFFF" w:fill="FFFFFF"/>
            <w:tcMar>
              <w:top w:w="15" w:type="dxa"/>
              <w:left w:w="15" w:type="dxa"/>
              <w:right w:w="15" w:type="dxa"/>
            </w:tcMar>
            <w:vAlign w:val="center"/>
          </w:tcPr>
          <w:p>
            <w:pPr>
              <w:jc w:val="center"/>
              <w:rPr>
                <w:rFonts w:ascii="宋体" w:hAnsi="宋体" w:cs="宋体" w:eastAsiaTheme="minorEastAsia"/>
                <w:sz w:val="16"/>
                <w:szCs w:val="16"/>
              </w:rPr>
            </w:pPr>
          </w:p>
        </w:tc>
        <w:tc>
          <w:tcPr>
            <w:tcW w:w="44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sz w:val="22"/>
                <w:szCs w:val="22"/>
              </w:rPr>
            </w:pPr>
            <w:r>
              <w:rPr>
                <w:rFonts w:hint="eastAsia" w:ascii="宋体" w:hAnsi="宋体" w:cs="宋体" w:eastAsiaTheme="minorEastAsia"/>
                <w:kern w:val="0"/>
                <w:sz w:val="22"/>
                <w:szCs w:val="22"/>
              </w:rPr>
              <w:t>9</w:t>
            </w:r>
          </w:p>
        </w:tc>
        <w:tc>
          <w:tcPr>
            <w:tcW w:w="1966" w:type="dxa"/>
            <w:shd w:val="solid" w:color="FFFFFF" w:fill="FFFFFF"/>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二手车性能与价格评定</w:t>
            </w:r>
          </w:p>
        </w:tc>
        <w:tc>
          <w:tcPr>
            <w:tcW w:w="612" w:type="dxa"/>
            <w:shd w:val="solid" w:color="FFFFFF" w:fill="FFFFFF"/>
            <w:tcMar>
              <w:top w:w="15" w:type="dxa"/>
              <w:left w:w="15" w:type="dxa"/>
              <w:right w:w="15" w:type="dxa"/>
            </w:tcMar>
            <w:vAlign w:val="center"/>
          </w:tcPr>
          <w:p>
            <w:pPr>
              <w:jc w:val="center"/>
              <w:rPr>
                <w:rFonts w:ascii="仿宋" w:hAnsi="仿宋" w:eastAsia="仿宋" w:cs="仿宋"/>
                <w:sz w:val="20"/>
                <w:szCs w:val="20"/>
              </w:rPr>
            </w:pPr>
          </w:p>
        </w:tc>
        <w:tc>
          <w:tcPr>
            <w:tcW w:w="538"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sz w:val="20"/>
                <w:szCs w:val="20"/>
              </w:rPr>
            </w:pPr>
          </w:p>
        </w:tc>
        <w:tc>
          <w:tcPr>
            <w:tcW w:w="437"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325"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tcMar>
              <w:top w:w="15" w:type="dxa"/>
              <w:left w:w="15" w:type="dxa"/>
              <w:right w:w="15" w:type="dxa"/>
            </w:tcMar>
            <w:vAlign w:val="center"/>
          </w:tcPr>
          <w:p>
            <w:pPr>
              <w:jc w:val="center"/>
              <w:rPr>
                <w:rFonts w:ascii="仿宋" w:hAnsi="仿宋" w:eastAsia="仿宋" w:cs="仿宋"/>
                <w:szCs w:val="21"/>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3"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8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78"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41" w:type="dxa"/>
            <w:shd w:val="solid" w:color="FFFFFF" w:fill="FFFFFF"/>
            <w:tcMar>
              <w:top w:w="15" w:type="dxa"/>
              <w:left w:w="15" w:type="dxa"/>
              <w:right w:w="15" w:type="dxa"/>
            </w:tcMar>
            <w:vAlign w:val="center"/>
          </w:tcPr>
          <w:p>
            <w:pPr>
              <w:jc w:val="center"/>
              <w:rPr>
                <w:rFonts w:ascii="仿宋" w:hAnsi="仿宋" w:eastAsia="仿宋" w:cs="仿宋"/>
                <w:sz w:val="24"/>
              </w:rPr>
            </w:pPr>
          </w:p>
        </w:tc>
        <w:tc>
          <w:tcPr>
            <w:tcW w:w="353" w:type="dxa"/>
            <w:shd w:val="solid" w:color="FFFFFF" w:fill="FFFFFF"/>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w:t>
            </w: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06" w:type="dxa"/>
            <w:vMerge w:val="continue"/>
            <w:shd w:val="solid" w:color="FFFFFF" w:fill="FFFFFF"/>
            <w:tcMar>
              <w:top w:w="15" w:type="dxa"/>
              <w:left w:w="15" w:type="dxa"/>
              <w:right w:w="15" w:type="dxa"/>
            </w:tcMar>
            <w:vAlign w:val="center"/>
          </w:tcPr>
          <w:p>
            <w:pPr>
              <w:jc w:val="center"/>
              <w:rPr>
                <w:rFonts w:hint="eastAsia" w:ascii="仿宋" w:hAnsi="仿宋" w:eastAsia="仿宋" w:cs="仿宋"/>
                <w:sz w:val="22"/>
                <w:szCs w:val="22"/>
              </w:rPr>
            </w:pPr>
          </w:p>
        </w:tc>
        <w:tc>
          <w:tcPr>
            <w:tcW w:w="2775" w:type="dxa"/>
            <w:gridSpan w:val="3"/>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kern w:val="0"/>
                <w:sz w:val="22"/>
                <w:szCs w:val="22"/>
              </w:rPr>
              <w:t>小计</w:t>
            </w:r>
          </w:p>
        </w:tc>
        <w:tc>
          <w:tcPr>
            <w:tcW w:w="612" w:type="dxa"/>
            <w:shd w:val="solid" w:color="FFFFFF" w:fill="FFFFFF"/>
            <w:noWrap/>
            <w:tcMar>
              <w:top w:w="15" w:type="dxa"/>
              <w:left w:w="15" w:type="dxa"/>
              <w:right w:w="15" w:type="dxa"/>
            </w:tcMar>
            <w:vAlign w:val="center"/>
          </w:tcPr>
          <w:p>
            <w:pPr>
              <w:jc w:val="center"/>
              <w:rPr>
                <w:rFonts w:ascii="宋体" w:hAnsi="宋体" w:cs="宋体" w:eastAsiaTheme="minorEastAsia"/>
                <w:b/>
                <w:bCs/>
                <w:sz w:val="20"/>
                <w:szCs w:val="20"/>
              </w:rPr>
            </w:pPr>
          </w:p>
        </w:tc>
        <w:tc>
          <w:tcPr>
            <w:tcW w:w="538" w:type="dxa"/>
            <w:shd w:val="solid" w:color="FFFFFF" w:fill="FFFFFF"/>
            <w:noWrap/>
            <w:tcMar>
              <w:top w:w="15" w:type="dxa"/>
              <w:left w:w="15" w:type="dxa"/>
              <w:right w:w="15" w:type="dxa"/>
            </w:tcMar>
            <w:vAlign w:val="center"/>
          </w:tcPr>
          <w:p>
            <w:pPr>
              <w:jc w:val="center"/>
              <w:rPr>
                <w:rFonts w:ascii="宋体" w:hAnsi="宋体" w:cs="宋体" w:eastAsiaTheme="minorEastAsia"/>
                <w:b/>
                <w:bCs/>
                <w:sz w:val="20"/>
                <w:szCs w:val="20"/>
              </w:rPr>
            </w:pPr>
          </w:p>
        </w:tc>
        <w:tc>
          <w:tcPr>
            <w:tcW w:w="500" w:type="dxa"/>
            <w:shd w:val="solid" w:color="FFFFFF" w:fill="FFFFFF"/>
            <w:noWrap/>
            <w:tcMar>
              <w:top w:w="15" w:type="dxa"/>
              <w:left w:w="15" w:type="dxa"/>
              <w:right w:w="15" w:type="dxa"/>
            </w:tcMar>
            <w:vAlign w:val="center"/>
          </w:tcPr>
          <w:p>
            <w:pPr>
              <w:jc w:val="center"/>
              <w:rPr>
                <w:rFonts w:ascii="宋体" w:hAnsi="宋体" w:cs="宋体" w:eastAsiaTheme="minorEastAsia"/>
                <w:b/>
                <w:bCs/>
                <w:sz w:val="20"/>
                <w:szCs w:val="20"/>
              </w:rPr>
            </w:pPr>
          </w:p>
        </w:tc>
        <w:tc>
          <w:tcPr>
            <w:tcW w:w="437"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bCs/>
                <w:sz w:val="22"/>
                <w:szCs w:val="22"/>
              </w:rPr>
            </w:pPr>
            <w:r>
              <w:rPr>
                <w:rFonts w:hint="eastAsia" w:ascii="宋体" w:hAnsi="宋体" w:cs="宋体" w:eastAsiaTheme="minorEastAsia"/>
                <w:b/>
                <w:bCs/>
                <w:kern w:val="0"/>
                <w:sz w:val="22"/>
                <w:szCs w:val="22"/>
              </w:rPr>
              <w:t>9</w:t>
            </w:r>
          </w:p>
        </w:tc>
        <w:tc>
          <w:tcPr>
            <w:tcW w:w="32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7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8"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78"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41"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53"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455" w:type="dxa"/>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3181" w:type="dxa"/>
            <w:gridSpan w:val="4"/>
            <w:vMerge w:val="restart"/>
            <w:shd w:val="solid" w:color="FFFFFF" w:fill="FFFFFF"/>
            <w:noWrap/>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kern w:val="0"/>
                <w:sz w:val="22"/>
                <w:szCs w:val="22"/>
              </w:rPr>
              <w:t>合计</w:t>
            </w:r>
          </w:p>
        </w:tc>
        <w:tc>
          <w:tcPr>
            <w:tcW w:w="612"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bCs/>
                <w:sz w:val="15"/>
                <w:szCs w:val="15"/>
              </w:rPr>
            </w:pPr>
            <w:r>
              <w:rPr>
                <w:rFonts w:hint="eastAsia" w:ascii="宋体" w:hAnsi="宋体" w:cs="宋体" w:eastAsiaTheme="minorEastAsia"/>
                <w:b/>
                <w:bCs/>
                <w:kern w:val="0"/>
                <w:sz w:val="15"/>
                <w:szCs w:val="15"/>
              </w:rPr>
              <w:t>2066</w:t>
            </w:r>
          </w:p>
        </w:tc>
        <w:tc>
          <w:tcPr>
            <w:tcW w:w="538" w:type="dxa"/>
            <w:shd w:val="solid" w:color="FFFFFF" w:fill="FFFFFF"/>
            <w:noWrap/>
            <w:tcMar>
              <w:top w:w="15" w:type="dxa"/>
              <w:left w:w="15" w:type="dxa"/>
              <w:right w:w="15" w:type="dxa"/>
            </w:tcMar>
            <w:vAlign w:val="center"/>
          </w:tcPr>
          <w:p>
            <w:pPr>
              <w:widowControl/>
              <w:jc w:val="center"/>
              <w:textAlignment w:val="center"/>
              <w:rPr>
                <w:rFonts w:hint="default" w:ascii="宋体" w:hAnsi="宋体" w:cs="宋体" w:eastAsiaTheme="minorEastAsia"/>
                <w:b/>
                <w:bCs/>
                <w:sz w:val="15"/>
                <w:szCs w:val="15"/>
                <w:lang w:val="en-US" w:eastAsia="zh-CN"/>
              </w:rPr>
            </w:pPr>
            <w:r>
              <w:rPr>
                <w:rFonts w:hint="eastAsia" w:ascii="宋体" w:hAnsi="宋体" w:cs="宋体" w:eastAsiaTheme="minorEastAsia"/>
                <w:b/>
                <w:bCs/>
                <w:kern w:val="0"/>
                <w:sz w:val="15"/>
                <w:szCs w:val="15"/>
                <w:lang w:val="en-US" w:eastAsia="zh-CN"/>
              </w:rPr>
              <w:t>1824</w:t>
            </w:r>
          </w:p>
        </w:tc>
        <w:tc>
          <w:tcPr>
            <w:tcW w:w="500" w:type="dxa"/>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bCs/>
                <w:sz w:val="15"/>
                <w:szCs w:val="15"/>
              </w:rPr>
            </w:pPr>
            <w:r>
              <w:rPr>
                <w:rFonts w:hint="eastAsia" w:ascii="宋体" w:hAnsi="宋体" w:cs="宋体" w:eastAsiaTheme="minorEastAsia"/>
                <w:b/>
                <w:bCs/>
                <w:kern w:val="0"/>
                <w:sz w:val="15"/>
                <w:szCs w:val="15"/>
              </w:rPr>
              <w:t>930</w:t>
            </w:r>
          </w:p>
        </w:tc>
        <w:tc>
          <w:tcPr>
            <w:tcW w:w="437" w:type="dxa"/>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bCs/>
                <w:sz w:val="22"/>
                <w:szCs w:val="22"/>
              </w:rPr>
            </w:pPr>
            <w:r>
              <w:rPr>
                <w:rFonts w:hint="eastAsia" w:ascii="宋体" w:hAnsi="宋体" w:cs="宋体" w:eastAsiaTheme="minorEastAsia"/>
                <w:b/>
                <w:bCs/>
                <w:kern w:val="0"/>
                <w:sz w:val="22"/>
                <w:szCs w:val="22"/>
              </w:rPr>
              <w:t>260</w:t>
            </w:r>
          </w:p>
        </w:tc>
        <w:tc>
          <w:tcPr>
            <w:tcW w:w="325" w:type="dxa"/>
            <w:vMerge w:val="restart"/>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75" w:type="dxa"/>
            <w:vMerge w:val="restart"/>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sz w:val="22"/>
                <w:szCs w:val="22"/>
              </w:rPr>
            </w:pPr>
            <w:r>
              <w:rPr>
                <w:rFonts w:hint="eastAsia" w:ascii="宋体" w:hAnsi="宋体" w:cs="宋体" w:eastAsiaTheme="minorEastAsia"/>
                <w:b/>
                <w:kern w:val="0"/>
                <w:sz w:val="22"/>
                <w:szCs w:val="22"/>
              </w:rPr>
              <w:t>26</w:t>
            </w:r>
          </w:p>
        </w:tc>
        <w:tc>
          <w:tcPr>
            <w:tcW w:w="383" w:type="dxa"/>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sz w:val="22"/>
                <w:szCs w:val="22"/>
              </w:rPr>
            </w:pPr>
            <w:r>
              <w:rPr>
                <w:rFonts w:hint="eastAsia" w:ascii="宋体" w:hAnsi="宋体" w:cs="宋体" w:eastAsiaTheme="minorEastAsia"/>
                <w:b/>
                <w:kern w:val="0"/>
                <w:sz w:val="22"/>
                <w:szCs w:val="22"/>
              </w:rPr>
              <w:t>26</w:t>
            </w:r>
          </w:p>
        </w:tc>
        <w:tc>
          <w:tcPr>
            <w:tcW w:w="383" w:type="dxa"/>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sz w:val="22"/>
                <w:szCs w:val="22"/>
              </w:rPr>
            </w:pPr>
            <w:r>
              <w:rPr>
                <w:rFonts w:hint="eastAsia" w:ascii="宋体" w:hAnsi="宋体" w:cs="宋体" w:eastAsiaTheme="minorEastAsia"/>
                <w:b/>
                <w:kern w:val="0"/>
                <w:sz w:val="22"/>
                <w:szCs w:val="22"/>
              </w:rPr>
              <w:t>24</w:t>
            </w:r>
          </w:p>
        </w:tc>
        <w:tc>
          <w:tcPr>
            <w:tcW w:w="383" w:type="dxa"/>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sz w:val="22"/>
                <w:szCs w:val="22"/>
              </w:rPr>
            </w:pPr>
            <w:r>
              <w:rPr>
                <w:rFonts w:hint="eastAsia" w:ascii="宋体" w:hAnsi="宋体" w:cs="宋体" w:eastAsiaTheme="minorEastAsia"/>
                <w:b/>
                <w:kern w:val="0"/>
                <w:sz w:val="22"/>
                <w:szCs w:val="22"/>
              </w:rPr>
              <w:t>24</w:t>
            </w:r>
          </w:p>
        </w:tc>
        <w:tc>
          <w:tcPr>
            <w:tcW w:w="383" w:type="dxa"/>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sz w:val="22"/>
                <w:szCs w:val="22"/>
              </w:rPr>
            </w:pPr>
            <w:r>
              <w:rPr>
                <w:rFonts w:hint="eastAsia" w:ascii="宋体" w:hAnsi="宋体" w:cs="宋体" w:eastAsiaTheme="minorEastAsia"/>
                <w:b/>
                <w:kern w:val="0"/>
                <w:sz w:val="22"/>
                <w:szCs w:val="22"/>
              </w:rPr>
              <w:t>20</w:t>
            </w:r>
          </w:p>
        </w:tc>
        <w:tc>
          <w:tcPr>
            <w:tcW w:w="388" w:type="dxa"/>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sz w:val="22"/>
                <w:szCs w:val="22"/>
              </w:rPr>
            </w:pPr>
            <w:r>
              <w:rPr>
                <w:rFonts w:hint="eastAsia" w:ascii="宋体" w:hAnsi="宋体" w:cs="宋体" w:eastAsiaTheme="minorEastAsia"/>
                <w:b/>
                <w:kern w:val="0"/>
                <w:sz w:val="22"/>
                <w:szCs w:val="22"/>
              </w:rPr>
              <w:t>20</w:t>
            </w:r>
          </w:p>
        </w:tc>
        <w:tc>
          <w:tcPr>
            <w:tcW w:w="378" w:type="dxa"/>
            <w:vMerge w:val="restart"/>
            <w:shd w:val="solid" w:color="FFFFFF" w:fill="FFFFFF"/>
            <w:noWrap/>
            <w:tcMar>
              <w:top w:w="15" w:type="dxa"/>
              <w:left w:w="15" w:type="dxa"/>
              <w:right w:w="15" w:type="dxa"/>
            </w:tcMar>
            <w:vAlign w:val="center"/>
          </w:tcPr>
          <w:p>
            <w:pPr>
              <w:widowControl/>
              <w:jc w:val="center"/>
              <w:textAlignment w:val="center"/>
              <w:rPr>
                <w:rFonts w:ascii="宋体" w:hAnsi="宋体" w:cs="宋体" w:eastAsiaTheme="minorEastAsia"/>
                <w:b/>
                <w:sz w:val="22"/>
                <w:szCs w:val="22"/>
              </w:rPr>
            </w:pPr>
            <w:r>
              <w:rPr>
                <w:rFonts w:hint="eastAsia" w:ascii="宋体" w:hAnsi="宋体" w:cs="宋体" w:eastAsiaTheme="minorEastAsia"/>
                <w:b/>
                <w:kern w:val="0"/>
                <w:sz w:val="22"/>
                <w:szCs w:val="22"/>
              </w:rPr>
              <w:t>22</w:t>
            </w:r>
          </w:p>
        </w:tc>
        <w:tc>
          <w:tcPr>
            <w:tcW w:w="341" w:type="dxa"/>
            <w:vMerge w:val="restart"/>
            <w:shd w:val="solid" w:color="FFFFFF" w:fill="FFFFFF"/>
            <w:noWrap/>
            <w:tcMar>
              <w:top w:w="15" w:type="dxa"/>
              <w:left w:w="15" w:type="dxa"/>
              <w:right w:w="15" w:type="dxa"/>
            </w:tcMar>
            <w:vAlign w:val="center"/>
          </w:tcPr>
          <w:p>
            <w:pPr>
              <w:widowControl/>
              <w:jc w:val="center"/>
              <w:textAlignment w:val="center"/>
              <w:rPr>
                <w:rFonts w:hint="default" w:ascii="宋体" w:hAnsi="宋体" w:cs="宋体" w:eastAsiaTheme="minorEastAsia"/>
                <w:b/>
                <w:sz w:val="22"/>
                <w:szCs w:val="22"/>
                <w:lang w:val="en-US" w:eastAsia="zh-CN"/>
              </w:rPr>
            </w:pPr>
            <w:r>
              <w:rPr>
                <w:rFonts w:hint="eastAsia" w:ascii="宋体" w:hAnsi="宋体" w:cs="宋体" w:eastAsiaTheme="minorEastAsia"/>
                <w:b/>
                <w:kern w:val="0"/>
                <w:sz w:val="22"/>
                <w:szCs w:val="22"/>
                <w:lang w:val="en-US" w:eastAsia="zh-CN"/>
              </w:rPr>
              <w:t>18</w:t>
            </w:r>
          </w:p>
        </w:tc>
        <w:tc>
          <w:tcPr>
            <w:tcW w:w="353" w:type="dxa"/>
            <w:vMerge w:val="restart"/>
            <w:shd w:val="solid" w:color="FFFFFF" w:fill="FFFFFF"/>
            <w:noWrap/>
            <w:tcMar>
              <w:top w:w="15" w:type="dxa"/>
              <w:left w:w="15" w:type="dxa"/>
              <w:right w:w="15" w:type="dxa"/>
            </w:tcMar>
            <w:vAlign w:val="center"/>
          </w:tcPr>
          <w:p>
            <w:pPr>
              <w:widowControl/>
              <w:jc w:val="center"/>
              <w:textAlignment w:val="center"/>
              <w:rPr>
                <w:rFonts w:hint="default" w:ascii="宋体" w:hAnsi="宋体" w:cs="宋体" w:eastAsiaTheme="minorEastAsia"/>
                <w:b/>
                <w:sz w:val="22"/>
                <w:szCs w:val="22"/>
                <w:lang w:val="en-US" w:eastAsia="zh-CN"/>
              </w:rPr>
            </w:pPr>
            <w:r>
              <w:rPr>
                <w:rFonts w:hint="eastAsia" w:ascii="宋体" w:hAnsi="宋体" w:cs="宋体" w:eastAsiaTheme="minorEastAsia"/>
                <w:b/>
                <w:kern w:val="0"/>
                <w:sz w:val="22"/>
                <w:szCs w:val="22"/>
                <w:lang w:val="en-US" w:eastAsia="zh-CN"/>
              </w:rPr>
              <w:t>18</w:t>
            </w:r>
          </w:p>
        </w:tc>
        <w:tc>
          <w:tcPr>
            <w:tcW w:w="455" w:type="dxa"/>
            <w:vMerge w:val="restart"/>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 w:hRule="atLeast"/>
          <w:jc w:val="center"/>
        </w:trPr>
        <w:tc>
          <w:tcPr>
            <w:tcW w:w="3181" w:type="dxa"/>
            <w:gridSpan w:val="4"/>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1650" w:type="dxa"/>
            <w:gridSpan w:val="3"/>
            <w:shd w:val="solid" w:color="FFFFFF" w:fill="FFFFFF"/>
            <w:noWrap/>
            <w:tcMar>
              <w:top w:w="15" w:type="dxa"/>
              <w:left w:w="15" w:type="dxa"/>
              <w:right w:w="15" w:type="dxa"/>
            </w:tcMar>
            <w:vAlign w:val="center"/>
          </w:tcPr>
          <w:p>
            <w:pPr>
              <w:widowControl/>
              <w:jc w:val="center"/>
              <w:textAlignment w:val="center"/>
              <w:rPr>
                <w:rFonts w:hint="default" w:ascii="宋体" w:hAnsi="宋体" w:cs="宋体" w:eastAsiaTheme="minorEastAsia"/>
                <w:sz w:val="20"/>
                <w:szCs w:val="20"/>
                <w:lang w:val="en-US" w:eastAsia="zh-CN"/>
              </w:rPr>
            </w:pPr>
            <w:r>
              <w:rPr>
                <w:rFonts w:hint="eastAsia" w:ascii="宋体" w:hAnsi="宋体" w:cs="宋体" w:eastAsiaTheme="minorEastAsia"/>
                <w:b/>
                <w:bCs/>
                <w:sz w:val="20"/>
                <w:szCs w:val="20"/>
              </w:rPr>
              <w:t>4</w:t>
            </w:r>
            <w:r>
              <w:rPr>
                <w:rFonts w:hint="eastAsia" w:ascii="宋体" w:hAnsi="宋体" w:cs="宋体" w:eastAsiaTheme="minorEastAsia"/>
                <w:b/>
                <w:bCs/>
                <w:sz w:val="20"/>
                <w:szCs w:val="20"/>
                <w:lang w:val="en-US" w:eastAsia="zh-CN"/>
              </w:rPr>
              <w:t>700</w:t>
            </w:r>
          </w:p>
        </w:tc>
        <w:tc>
          <w:tcPr>
            <w:tcW w:w="437" w:type="dxa"/>
            <w:vMerge w:val="continue"/>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25" w:type="dxa"/>
            <w:vMerge w:val="continue"/>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75" w:type="dxa"/>
            <w:vMerge w:val="continue"/>
            <w:shd w:val="solid" w:color="FFFFFF" w:fill="FFFFFF"/>
            <w:noWrap/>
            <w:tcMar>
              <w:top w:w="15" w:type="dxa"/>
              <w:left w:w="15" w:type="dxa"/>
              <w:right w:w="15" w:type="dxa"/>
            </w:tcMar>
            <w:vAlign w:val="center"/>
          </w:tcPr>
          <w:p>
            <w:pPr>
              <w:jc w:val="center"/>
              <w:rPr>
                <w:rFonts w:ascii="宋体" w:hAnsi="宋体" w:cs="宋体" w:eastAsiaTheme="minorEastAsia"/>
                <w:sz w:val="22"/>
                <w:szCs w:val="22"/>
              </w:rPr>
            </w:pPr>
          </w:p>
        </w:tc>
        <w:tc>
          <w:tcPr>
            <w:tcW w:w="383" w:type="dxa"/>
            <w:gridSpan w:val="2"/>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83"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83"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83"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83"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88"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78"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41"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353"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c>
          <w:tcPr>
            <w:tcW w:w="455" w:type="dxa"/>
            <w:vMerge w:val="continue"/>
            <w:shd w:val="solid" w:color="FFFFFF" w:fill="FFFFFF"/>
            <w:noWrap/>
            <w:tcMar>
              <w:top w:w="15" w:type="dxa"/>
              <w:left w:w="15" w:type="dxa"/>
              <w:right w:w="15" w:type="dxa"/>
            </w:tcMar>
            <w:vAlign w:val="center"/>
          </w:tcPr>
          <w:p>
            <w:pPr>
              <w:jc w:val="center"/>
              <w:rPr>
                <w:rFonts w:ascii="宋体" w:hAnsi="宋体" w:cs="宋体" w:eastAsiaTheme="minorEastAsia"/>
                <w:b/>
                <w:sz w:val="22"/>
                <w:szCs w:val="22"/>
              </w:rPr>
            </w:pPr>
          </w:p>
        </w:tc>
      </w:tr>
    </w:tbl>
    <w:p>
      <w:pPr>
        <w:numPr>
          <w:ilvl w:val="0"/>
          <w:numId w:val="0"/>
        </w:numPr>
        <w:ind w:leftChars="0"/>
        <w:jc w:val="left"/>
        <w:rPr>
          <w:rFonts w:hint="eastAsia" w:ascii="黑体" w:hAnsi="宋体" w:eastAsia="黑体"/>
          <w:bCs/>
          <w:sz w:val="28"/>
          <w:szCs w:val="28"/>
        </w:rPr>
      </w:pPr>
      <w:r>
        <w:rPr>
          <w:rFonts w:hint="eastAsia" w:ascii="黑体" w:hAnsi="宋体" w:eastAsia="黑体"/>
          <w:bCs/>
          <w:sz w:val="28"/>
          <w:szCs w:val="28"/>
          <w:lang w:eastAsia="zh-CN"/>
        </w:rPr>
        <w:t>（四）</w:t>
      </w:r>
      <w:r>
        <w:rPr>
          <w:rFonts w:hint="eastAsia" w:ascii="黑体" w:hAnsi="宋体" w:eastAsia="黑体"/>
          <w:bCs/>
          <w:sz w:val="28"/>
          <w:szCs w:val="28"/>
        </w:rPr>
        <w:t>专业选修课一览表</w:t>
      </w:r>
    </w:p>
    <w:p>
      <w:pPr>
        <w:pStyle w:val="2"/>
        <w:numPr>
          <w:ilvl w:val="0"/>
          <w:numId w:val="0"/>
        </w:numPr>
        <w:ind w:leftChars="0"/>
      </w:pPr>
    </w:p>
    <w:tbl>
      <w:tblPr>
        <w:tblStyle w:val="3"/>
        <w:tblW w:w="9700" w:type="dxa"/>
        <w:tblInd w:w="-7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
        <w:gridCol w:w="2213"/>
        <w:gridCol w:w="562"/>
        <w:gridCol w:w="413"/>
        <w:gridCol w:w="462"/>
        <w:gridCol w:w="450"/>
        <w:gridCol w:w="375"/>
        <w:gridCol w:w="338"/>
        <w:gridCol w:w="432"/>
        <w:gridCol w:w="432"/>
        <w:gridCol w:w="432"/>
        <w:gridCol w:w="432"/>
        <w:gridCol w:w="432"/>
        <w:gridCol w:w="432"/>
        <w:gridCol w:w="432"/>
        <w:gridCol w:w="432"/>
        <w:gridCol w:w="432"/>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62"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213"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437" w:type="dxa"/>
            <w:gridSpan w:val="3"/>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计划学时每学期20周</w:t>
            </w:r>
          </w:p>
        </w:tc>
        <w:tc>
          <w:tcPr>
            <w:tcW w:w="45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713" w:type="dxa"/>
            <w:gridSpan w:val="2"/>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4325" w:type="dxa"/>
            <w:gridSpan w:val="10"/>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学期周学时安排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56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213"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562"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875" w:type="dxa"/>
            <w:gridSpan w:val="2"/>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45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375"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338"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864"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864"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864"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c>
          <w:tcPr>
            <w:tcW w:w="864"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四年级</w:t>
            </w:r>
          </w:p>
        </w:tc>
        <w:tc>
          <w:tcPr>
            <w:tcW w:w="869"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五年级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6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213"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56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3"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462"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45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375"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338"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64"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64"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64"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64"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69"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56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213"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56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3"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6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5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375"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338"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7</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8</w:t>
            </w:r>
          </w:p>
        </w:tc>
        <w:tc>
          <w:tcPr>
            <w:tcW w:w="43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9</w:t>
            </w:r>
          </w:p>
        </w:tc>
        <w:tc>
          <w:tcPr>
            <w:tcW w:w="437"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汽车商务礼仪</w:t>
            </w:r>
          </w:p>
        </w:tc>
        <w:tc>
          <w:tcPr>
            <w:tcW w:w="562" w:type="dxa"/>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r>
              <w:rPr>
                <w:rFonts w:hint="eastAsia" w:eastAsiaTheme="minorEastAsia"/>
                <w:color w:val="000000"/>
                <w:kern w:val="0"/>
                <w:sz w:val="21"/>
                <w:szCs w:val="21"/>
              </w:rPr>
              <w:t>5</w:t>
            </w:r>
          </w:p>
        </w:tc>
        <w:tc>
          <w:tcPr>
            <w:tcW w:w="413" w:type="dxa"/>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10</w:t>
            </w:r>
          </w:p>
        </w:tc>
        <w:tc>
          <w:tcPr>
            <w:tcW w:w="462" w:type="dxa"/>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r>
              <w:rPr>
                <w:rFonts w:hint="eastAsia" w:eastAsiaTheme="minorEastAsia"/>
                <w:color w:val="000000"/>
                <w:kern w:val="0"/>
                <w:sz w:val="21"/>
                <w:szCs w:val="21"/>
              </w:rPr>
              <w:t>5</w:t>
            </w:r>
          </w:p>
        </w:tc>
        <w:tc>
          <w:tcPr>
            <w:tcW w:w="450" w:type="dxa"/>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r>
              <w:rPr>
                <w:rFonts w:eastAsiaTheme="minorEastAsia"/>
                <w:color w:val="000000"/>
                <w:kern w:val="0"/>
                <w:sz w:val="21"/>
                <w:szCs w:val="21"/>
              </w:rPr>
              <w:t>1</w:t>
            </w:r>
          </w:p>
        </w:tc>
        <w:tc>
          <w:tcPr>
            <w:tcW w:w="375" w:type="dxa"/>
            <w:tcBorders>
              <w:tl2br w:val="nil"/>
              <w:tr2bl w:val="nil"/>
            </w:tcBorders>
            <w:noWrap/>
            <w:tcMar>
              <w:top w:w="15" w:type="dxa"/>
              <w:left w:w="15" w:type="dxa"/>
              <w:right w:w="15" w:type="dxa"/>
            </w:tcMar>
          </w:tcPr>
          <w:p>
            <w:pP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汽车外观创新设计</w:t>
            </w:r>
          </w:p>
        </w:tc>
        <w:tc>
          <w:tcPr>
            <w:tcW w:w="562" w:type="dxa"/>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r>
              <w:rPr>
                <w:rFonts w:hint="eastAsia" w:eastAsiaTheme="minorEastAsia"/>
                <w:color w:val="000000"/>
                <w:kern w:val="0"/>
                <w:sz w:val="21"/>
                <w:szCs w:val="21"/>
              </w:rPr>
              <w:t>5</w:t>
            </w:r>
          </w:p>
        </w:tc>
        <w:tc>
          <w:tcPr>
            <w:tcW w:w="413" w:type="dxa"/>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10</w:t>
            </w:r>
          </w:p>
        </w:tc>
        <w:tc>
          <w:tcPr>
            <w:tcW w:w="462" w:type="dxa"/>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r>
              <w:rPr>
                <w:rFonts w:hint="eastAsia" w:eastAsiaTheme="minorEastAsia"/>
                <w:color w:val="000000"/>
                <w:kern w:val="0"/>
                <w:sz w:val="21"/>
                <w:szCs w:val="21"/>
              </w:rPr>
              <w:t>5</w:t>
            </w:r>
          </w:p>
        </w:tc>
        <w:tc>
          <w:tcPr>
            <w:tcW w:w="450" w:type="dxa"/>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r>
              <w:rPr>
                <w:rFonts w:eastAsiaTheme="minorEastAsia"/>
                <w:color w:val="000000"/>
                <w:kern w:val="0"/>
                <w:sz w:val="21"/>
                <w:szCs w:val="21"/>
              </w:rPr>
              <w:t>1</w:t>
            </w:r>
          </w:p>
        </w:tc>
        <w:tc>
          <w:tcPr>
            <w:tcW w:w="375" w:type="dxa"/>
            <w:tcBorders>
              <w:tl2br w:val="nil"/>
              <w:tr2bl w:val="nil"/>
            </w:tcBorders>
            <w:noWrap/>
            <w:tcMar>
              <w:top w:w="15" w:type="dxa"/>
              <w:left w:w="15" w:type="dxa"/>
              <w:right w:w="15" w:type="dxa"/>
            </w:tcMar>
          </w:tcPr>
          <w:p>
            <w:pP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纺织电子商务</w:t>
            </w:r>
          </w:p>
        </w:tc>
        <w:tc>
          <w:tcPr>
            <w:tcW w:w="5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13" w:type="dxa"/>
            <w:vMerge w:val="restart"/>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20</w:t>
            </w:r>
          </w:p>
        </w:tc>
        <w:tc>
          <w:tcPr>
            <w:tcW w:w="4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2</w:t>
            </w:r>
          </w:p>
        </w:tc>
        <w:tc>
          <w:tcPr>
            <w:tcW w:w="375" w:type="dxa"/>
            <w:tcBorders>
              <w:tl2br w:val="nil"/>
              <w:tr2bl w:val="nil"/>
            </w:tcBorders>
            <w:noWrap/>
            <w:tcMar>
              <w:top w:w="15" w:type="dxa"/>
              <w:left w:w="15" w:type="dxa"/>
              <w:right w:w="15" w:type="dxa"/>
            </w:tcMar>
          </w:tcPr>
          <w:p>
            <w:pP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中国蚕丝绸文化</w:t>
            </w:r>
          </w:p>
        </w:tc>
        <w:tc>
          <w:tcPr>
            <w:tcW w:w="5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安全用与电工技能训练</w:t>
            </w:r>
          </w:p>
        </w:tc>
        <w:tc>
          <w:tcPr>
            <w:tcW w:w="5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13" w:type="dxa"/>
            <w:vMerge w:val="restart"/>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20</w:t>
            </w:r>
          </w:p>
        </w:tc>
        <w:tc>
          <w:tcPr>
            <w:tcW w:w="4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2</w:t>
            </w: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kern w:val="0"/>
                <w:sz w:val="21"/>
                <w:szCs w:val="21"/>
              </w:rPr>
            </w:pPr>
            <w:r>
              <w:rPr>
                <w:rFonts w:hint="eastAsia" w:ascii="仿宋" w:hAnsi="仿宋" w:eastAsia="仿宋" w:cs="仿宋"/>
                <w:kern w:val="0"/>
                <w:sz w:val="21"/>
                <w:szCs w:val="21"/>
              </w:rPr>
              <w:t>中国服饰赏析</w:t>
            </w:r>
          </w:p>
        </w:tc>
        <w:tc>
          <w:tcPr>
            <w:tcW w:w="5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汽车底盘拆装</w:t>
            </w:r>
          </w:p>
        </w:tc>
        <w:tc>
          <w:tcPr>
            <w:tcW w:w="5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20</w:t>
            </w:r>
          </w:p>
        </w:tc>
        <w:tc>
          <w:tcPr>
            <w:tcW w:w="413" w:type="dxa"/>
            <w:vMerge w:val="restart"/>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30</w:t>
            </w:r>
          </w:p>
        </w:tc>
        <w:tc>
          <w:tcPr>
            <w:tcW w:w="4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3</w:t>
            </w: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汽车焊接技术</w:t>
            </w:r>
          </w:p>
        </w:tc>
        <w:tc>
          <w:tcPr>
            <w:tcW w:w="5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汽车零部件测量</w:t>
            </w:r>
          </w:p>
        </w:tc>
        <w:tc>
          <w:tcPr>
            <w:tcW w:w="5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纯电动汽车</w:t>
            </w:r>
          </w:p>
        </w:tc>
        <w:tc>
          <w:tcPr>
            <w:tcW w:w="5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汽车空调系统检修</w:t>
            </w:r>
          </w:p>
        </w:tc>
        <w:tc>
          <w:tcPr>
            <w:tcW w:w="5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20</w:t>
            </w:r>
          </w:p>
        </w:tc>
        <w:tc>
          <w:tcPr>
            <w:tcW w:w="413" w:type="dxa"/>
            <w:vMerge w:val="restart"/>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30</w:t>
            </w:r>
          </w:p>
        </w:tc>
        <w:tc>
          <w:tcPr>
            <w:tcW w:w="4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3</w:t>
            </w: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机械原理</w:t>
            </w:r>
          </w:p>
        </w:tc>
        <w:tc>
          <w:tcPr>
            <w:tcW w:w="5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kern w:val="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kern w:val="0"/>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kern w:val="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服装发展史</w:t>
            </w:r>
          </w:p>
        </w:tc>
        <w:tc>
          <w:tcPr>
            <w:tcW w:w="5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混合动力汽车</w:t>
            </w:r>
          </w:p>
        </w:tc>
        <w:tc>
          <w:tcPr>
            <w:tcW w:w="5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13" w:type="dxa"/>
            <w:vMerge w:val="restart"/>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20</w:t>
            </w:r>
          </w:p>
        </w:tc>
        <w:tc>
          <w:tcPr>
            <w:tcW w:w="4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2</w:t>
            </w: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2213" w:type="dxa"/>
            <w:tcBorders>
              <w:tl2br w:val="nil"/>
              <w:tr2bl w:val="nil"/>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汽车零部件</w:t>
            </w:r>
            <w:r>
              <w:rPr>
                <w:rFonts w:hint="eastAsia" w:ascii="仿宋" w:hAnsi="仿宋" w:eastAsia="仿宋" w:cs="仿宋"/>
                <w:sz w:val="21"/>
                <w:szCs w:val="21"/>
              </w:rPr>
              <w:t>SolidWorks</w:t>
            </w:r>
            <w:r>
              <w:rPr>
                <w:rFonts w:hint="eastAsia" w:ascii="仿宋" w:hAnsi="仿宋" w:eastAsia="仿宋" w:cs="仿宋"/>
                <w:color w:val="000000"/>
                <w:kern w:val="0"/>
                <w:sz w:val="21"/>
                <w:szCs w:val="21"/>
              </w:rPr>
              <w:t>三维设计</w:t>
            </w:r>
          </w:p>
        </w:tc>
        <w:tc>
          <w:tcPr>
            <w:tcW w:w="5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kern w:val="0"/>
                <w:sz w:val="21"/>
                <w:szCs w:val="21"/>
              </w:rPr>
            </w:pPr>
            <w:r>
              <w:rPr>
                <w:rFonts w:hint="eastAsia" w:ascii="仿宋" w:hAnsi="仿宋" w:eastAsia="仿宋" w:cs="仿宋"/>
                <w:kern w:val="0"/>
                <w:sz w:val="21"/>
                <w:szCs w:val="21"/>
              </w:rPr>
              <w:t>家庭电路的设计与安装</w:t>
            </w:r>
          </w:p>
        </w:tc>
        <w:tc>
          <w:tcPr>
            <w:tcW w:w="5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汽车涂料调色</w:t>
            </w:r>
          </w:p>
        </w:tc>
        <w:tc>
          <w:tcPr>
            <w:tcW w:w="5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13" w:type="dxa"/>
            <w:vMerge w:val="restart"/>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20</w:t>
            </w:r>
          </w:p>
        </w:tc>
        <w:tc>
          <w:tcPr>
            <w:tcW w:w="4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2</w:t>
            </w: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18</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汽车装潢与美容</w:t>
            </w:r>
          </w:p>
        </w:tc>
        <w:tc>
          <w:tcPr>
            <w:tcW w:w="5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19</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kern w:val="0"/>
                <w:sz w:val="21"/>
                <w:szCs w:val="21"/>
              </w:rPr>
            </w:pPr>
            <w:r>
              <w:rPr>
                <w:rFonts w:hint="eastAsia" w:ascii="仿宋" w:hAnsi="仿宋" w:eastAsia="仿宋" w:cs="仿宋"/>
                <w:kern w:val="0"/>
                <w:sz w:val="21"/>
                <w:szCs w:val="21"/>
              </w:rPr>
              <w:t>乐高机器人组装与调试</w:t>
            </w:r>
          </w:p>
        </w:tc>
        <w:tc>
          <w:tcPr>
            <w:tcW w:w="5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kern w:val="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20</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汽车改装技术</w:t>
            </w:r>
          </w:p>
        </w:tc>
        <w:tc>
          <w:tcPr>
            <w:tcW w:w="5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13" w:type="dxa"/>
            <w:vMerge w:val="restart"/>
            <w:tcBorders>
              <w:tl2br w:val="nil"/>
              <w:tr2bl w:val="nil"/>
            </w:tcBorders>
            <w:noWrap/>
            <w:tcMar>
              <w:top w:w="15" w:type="dxa"/>
              <w:left w:w="15" w:type="dxa"/>
              <w:right w:w="15" w:type="dxa"/>
            </w:tcMar>
            <w:vAlign w:val="center"/>
          </w:tcPr>
          <w:p>
            <w:pPr>
              <w:jc w:val="center"/>
              <w:rPr>
                <w:rFonts w:eastAsiaTheme="minorEastAsia"/>
                <w:color w:val="000000"/>
                <w:sz w:val="21"/>
                <w:szCs w:val="21"/>
              </w:rPr>
            </w:pPr>
            <w:r>
              <w:rPr>
                <w:rFonts w:hint="eastAsia" w:eastAsiaTheme="minorEastAsia"/>
                <w:color w:val="000000"/>
                <w:sz w:val="21"/>
                <w:szCs w:val="21"/>
              </w:rPr>
              <w:t>20</w:t>
            </w:r>
          </w:p>
        </w:tc>
        <w:tc>
          <w:tcPr>
            <w:tcW w:w="462"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10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eastAsiaTheme="minorEastAsia"/>
                <w:color w:val="000000"/>
                <w:sz w:val="21"/>
                <w:szCs w:val="21"/>
              </w:rPr>
            </w:pPr>
            <w:r>
              <w:rPr>
                <w:rFonts w:hint="eastAsia" w:eastAsiaTheme="minorEastAsia"/>
                <w:color w:val="000000"/>
                <w:kern w:val="0"/>
                <w:sz w:val="21"/>
                <w:szCs w:val="21"/>
              </w:rPr>
              <w:t>2</w:t>
            </w: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kern w:val="0"/>
                <w:sz w:val="21"/>
                <w:szCs w:val="21"/>
              </w:rPr>
            </w:pPr>
            <w:r>
              <w:rPr>
                <w:rFonts w:hint="eastAsia" w:ascii="仿宋" w:hAnsi="仿宋" w:eastAsia="仿宋" w:cs="仿宋"/>
                <w:kern w:val="0"/>
                <w:sz w:val="21"/>
                <w:szCs w:val="21"/>
              </w:rPr>
              <w:t>3D打印技术</w:t>
            </w:r>
          </w:p>
        </w:tc>
        <w:tc>
          <w:tcPr>
            <w:tcW w:w="5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kern w:val="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kern w:val="0"/>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eastAsiaTheme="minorEastAsia"/>
                <w:color w:val="000000"/>
                <w:kern w:val="0"/>
                <w:sz w:val="21"/>
                <w:szCs w:val="21"/>
              </w:rPr>
            </w:pPr>
          </w:p>
        </w:tc>
        <w:tc>
          <w:tcPr>
            <w:tcW w:w="375" w:type="dxa"/>
            <w:tcBorders>
              <w:tl2br w:val="nil"/>
              <w:tr2bl w:val="nil"/>
            </w:tcBorders>
            <w:noWrap/>
            <w:tcMar>
              <w:top w:w="15" w:type="dxa"/>
              <w:left w:w="15" w:type="dxa"/>
              <w:right w:w="15" w:type="dxa"/>
            </w:tcMar>
          </w:tcPr>
          <w:p>
            <w:pPr>
              <w:jc w:val="center"/>
              <w:rPr>
                <w:rFonts w:eastAsiaTheme="minorEastAsia"/>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6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22</w:t>
            </w:r>
          </w:p>
        </w:tc>
        <w:tc>
          <w:tcPr>
            <w:tcW w:w="2213" w:type="dxa"/>
            <w:tcBorders>
              <w:tl2br w:val="nil"/>
              <w:tr2bl w:val="nil"/>
            </w:tcBorders>
            <w:noWrap/>
            <w:tcMar>
              <w:top w:w="15" w:type="dxa"/>
              <w:left w:w="15" w:type="dxa"/>
              <w:right w:w="15" w:type="dxa"/>
            </w:tcMar>
            <w:vAlign w:val="center"/>
          </w:tcPr>
          <w:p>
            <w:pPr>
              <w:widowControl/>
              <w:jc w:val="both"/>
              <w:textAlignment w:val="center"/>
              <w:rPr>
                <w:rFonts w:ascii="仿宋" w:hAnsi="仿宋" w:eastAsia="仿宋" w:cs="仿宋"/>
                <w:color w:val="000000"/>
                <w:sz w:val="21"/>
                <w:szCs w:val="21"/>
              </w:rPr>
            </w:pPr>
            <w:r>
              <w:rPr>
                <w:rFonts w:hint="eastAsia" w:ascii="仿宋" w:hAnsi="仿宋" w:eastAsia="仿宋" w:cs="仿宋"/>
                <w:kern w:val="0"/>
                <w:sz w:val="21"/>
                <w:szCs w:val="21"/>
              </w:rPr>
              <w:t>汽车智能网联技术</w:t>
            </w:r>
          </w:p>
        </w:tc>
        <w:tc>
          <w:tcPr>
            <w:tcW w:w="5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13" w:type="dxa"/>
            <w:vMerge w:val="continue"/>
            <w:tcBorders>
              <w:tl2br w:val="nil"/>
              <w:tr2bl w:val="nil"/>
            </w:tcBorders>
            <w:noWrap/>
            <w:tcMar>
              <w:top w:w="15" w:type="dxa"/>
              <w:left w:w="15" w:type="dxa"/>
              <w:right w:w="15" w:type="dxa"/>
            </w:tcMar>
            <w:vAlign w:val="center"/>
          </w:tcPr>
          <w:p>
            <w:pPr>
              <w:jc w:val="center"/>
              <w:rPr>
                <w:rFonts w:eastAsiaTheme="minorEastAsia"/>
                <w:color w:val="000000"/>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eastAsiaTheme="minorEastAsia"/>
                <w:color w:val="000000"/>
                <w:sz w:val="21"/>
                <w:szCs w:val="21"/>
              </w:rPr>
            </w:pPr>
          </w:p>
        </w:tc>
        <w:tc>
          <w:tcPr>
            <w:tcW w:w="375"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775" w:type="dxa"/>
            <w:gridSpan w:val="2"/>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b/>
                <w:bCs/>
                <w:color w:val="000000"/>
                <w:kern w:val="0"/>
                <w:sz w:val="21"/>
                <w:szCs w:val="21"/>
              </w:rPr>
              <w:t>合计</w:t>
            </w:r>
          </w:p>
        </w:tc>
        <w:tc>
          <w:tcPr>
            <w:tcW w:w="562"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宋体" w:hAnsi="宋体" w:eastAsia="仿宋" w:cs="宋体"/>
                <w:b/>
                <w:sz w:val="21"/>
                <w:szCs w:val="21"/>
              </w:rPr>
              <w:t>100</w:t>
            </w:r>
          </w:p>
        </w:tc>
        <w:tc>
          <w:tcPr>
            <w:tcW w:w="413"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180</w:t>
            </w:r>
          </w:p>
        </w:tc>
        <w:tc>
          <w:tcPr>
            <w:tcW w:w="462"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color w:val="000000"/>
                <w:sz w:val="21"/>
                <w:szCs w:val="21"/>
              </w:rPr>
            </w:pPr>
            <w:r>
              <w:rPr>
                <w:rFonts w:hint="eastAsia" w:ascii="宋体" w:hAnsi="宋体" w:eastAsia="仿宋" w:cs="宋体"/>
                <w:b/>
                <w:sz w:val="21"/>
                <w:szCs w:val="21"/>
              </w:rPr>
              <w:t>80</w:t>
            </w:r>
          </w:p>
        </w:tc>
        <w:tc>
          <w:tcPr>
            <w:tcW w:w="450"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kern w:val="0"/>
                <w:sz w:val="21"/>
                <w:szCs w:val="21"/>
              </w:rPr>
              <w:t>18</w:t>
            </w:r>
          </w:p>
        </w:tc>
        <w:tc>
          <w:tcPr>
            <w:tcW w:w="375"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38"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3</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3</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32" w:type="dxa"/>
            <w:tcBorders>
              <w:tl2br w:val="nil"/>
              <w:tr2bl w:val="nil"/>
            </w:tcBorders>
            <w:noWrap/>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37"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16"/>
                <w:szCs w:val="16"/>
              </w:rPr>
            </w:pPr>
          </w:p>
        </w:tc>
      </w:tr>
    </w:tbl>
    <w:p>
      <w:pPr>
        <w:keepNext w:val="0"/>
        <w:keepLines w:val="0"/>
        <w:pageBreakBefore w:val="0"/>
        <w:widowControl w:val="0"/>
        <w:kinsoku/>
        <w:wordWrap/>
        <w:overflowPunct/>
        <w:topLinePunct w:val="0"/>
        <w:autoSpaceDE/>
        <w:autoSpaceDN/>
        <w:bidi w:val="0"/>
        <w:adjustRightInd/>
        <w:snapToGrid/>
        <w:spacing w:beforeLines="50" w:afterLines="50" w:line="460" w:lineRule="exact"/>
        <w:textAlignment w:val="auto"/>
        <w:rPr>
          <w:rFonts w:hint="eastAsia" w:ascii="黑体" w:hAnsi="黑体" w:eastAsia="黑体" w:cs="黑体"/>
          <w:b/>
          <w:bCs w:val="0"/>
          <w:sz w:val="28"/>
          <w:szCs w:val="28"/>
        </w:rPr>
      </w:pPr>
      <w:r>
        <w:rPr>
          <w:rFonts w:hint="eastAsia" w:ascii="黑体" w:hAnsi="黑体" w:eastAsia="黑体" w:cs="黑体"/>
          <w:b/>
          <w:bCs w:val="0"/>
          <w:sz w:val="28"/>
          <w:szCs w:val="28"/>
        </w:rPr>
        <w:t>八、专业核心课程简介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w:t>
      </w:r>
      <w:r>
        <w:rPr>
          <w:rFonts w:hint="eastAsia" w:ascii="黑体" w:hAnsi="黑体" w:eastAsia="黑体" w:cs="黑体"/>
          <w:b w:val="0"/>
          <w:bCs/>
          <w:sz w:val="28"/>
          <w:szCs w:val="28"/>
        </w:rPr>
        <w:t>汽车电器设备（8学分）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
          <w:sz w:val="28"/>
          <w:szCs w:val="28"/>
        </w:rPr>
      </w:pPr>
      <w:r>
        <w:rPr>
          <w:rFonts w:hint="eastAsia" w:ascii="宋体" w:hAnsi="宋体" w:cs="宋体" w:eastAsiaTheme="minorEastAsia"/>
          <w:bCs/>
          <w:sz w:val="28"/>
          <w:szCs w:val="28"/>
        </w:rPr>
        <w:t>该课程通过让学生掌握汽车电气设备的正确使用、维修、调整的方法，具有分析判断和排除常见故障的能力，熟悉电子技术与计算机在现代汽车上的应用情况与发展趋势。课程的主要内容：本课程主要讲授汽车电气设备的构造、工作原理、使用、维修、检测、调整、故障判断与排除，以及电子测量及计算机系统在汽车上的应用等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2.</w:t>
      </w:r>
      <w:r>
        <w:rPr>
          <w:rFonts w:hint="eastAsia" w:ascii="黑体" w:hAnsi="黑体" w:eastAsia="黑体" w:cs="黑体"/>
          <w:b w:val="0"/>
          <w:bCs/>
          <w:sz w:val="28"/>
          <w:szCs w:val="28"/>
        </w:rPr>
        <w:t>汽车故障诊断技术（6学分）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通过对现代汽车常见故障现象进行总结，分析故障原因，查找故障部位，使学生掌握故障检测诊断方法及检测诊断流程。</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培养学生掌握现代汽车各系统重要部位的调整和检测方法，能正确排除故障，掌握汽车故障检测与诊断单个学习项目主要包括：</w:t>
      </w:r>
      <w:r>
        <w:rPr>
          <w:rFonts w:hint="eastAsia" w:ascii="宋体" w:hAnsi="宋体" w:cs="宋体" w:eastAsiaTheme="minorEastAsia"/>
          <w:bCs/>
          <w:sz w:val="28"/>
          <w:szCs w:val="28"/>
        </w:rPr>
        <w:t>汽车故障诊断的方法、OBD系统认识、故障码读取、故障码排除、汽车数据流分析、动作测试、汽车电控系统诊断实训、汽车钥匙匹配等。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3.</w:t>
      </w:r>
      <w:r>
        <w:rPr>
          <w:rFonts w:hint="eastAsia" w:ascii="黑体" w:hAnsi="黑体" w:eastAsia="黑体" w:cs="黑体"/>
          <w:b w:val="0"/>
          <w:bCs/>
          <w:sz w:val="28"/>
          <w:szCs w:val="28"/>
        </w:rPr>
        <w:t>汽车发动机电控技术（4学分）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培养学生能够对电控发动机的简单故障进行分析并排除，掌握汽车电控系统的正确使用、维修、调整的方法，具有分析判断和排除常见故障的能力，熟悉汽车电控系统在现代汽车上的应用情况与发展趋势。课程的主要内容：主要讲授电控发动机总体结构，各系统的结构、工作原理和维修技术，电控发动机专用检测仪；电控发动机专用示波器；电控发动机检测设备；发动机喷油器清洗仪；电控发动机故障诊断与排除；故障诊断原理、方法与程序；电控发动机电器设备故障诊断与排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4.</w:t>
      </w:r>
      <w:r>
        <w:rPr>
          <w:rFonts w:hint="eastAsia" w:ascii="黑体" w:hAnsi="黑体" w:eastAsia="黑体" w:cs="黑体"/>
          <w:b w:val="0"/>
          <w:bCs/>
          <w:sz w:val="28"/>
          <w:szCs w:val="28"/>
        </w:rPr>
        <w:t>汽车发动机检测与维修（6学分）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培养学生利用现代诊断和检测设备进行发动机管理系统故障诊断、故障分析、零部件检测及维修更换等专业能力，同时注重培养学生的社会适应能力和学习能力，能胜任汽车维修车间机修工等一线岗位。</w:t>
      </w:r>
      <w:r>
        <w:rPr>
          <w:rFonts w:hint="eastAsia" w:ascii="宋体" w:hAnsi="宋体" w:cs="宋体" w:eastAsiaTheme="minorEastAsia"/>
          <w:bCs/>
          <w:sz w:val="28"/>
          <w:szCs w:val="28"/>
        </w:rPr>
        <w:t>课程的主要内容：发动汽缸盖平面度检测、发动机气缸压力检测、发动机真空度检测、发动机活塞连杆组拆装、发动机曲轴弯曲的检测、发动机正时系统装配、发动机气门间隙调整、发动机异常抖动、发动机动力不足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w:t>
      </w:r>
      <w:r>
        <w:rPr>
          <w:rFonts w:hint="eastAsia" w:ascii="黑体" w:hAnsi="黑体" w:eastAsia="黑体" w:cs="黑体"/>
          <w:b w:val="0"/>
          <w:bCs/>
          <w:sz w:val="28"/>
          <w:szCs w:val="28"/>
        </w:rPr>
        <w:t>汽车底盘检测与维修（6学分）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培养学生系统掌握汽车底盘各总成的功用、结构和基本工作原理，初步具有汽车底盘拆装、故障诊断与排除、零件损耗分析与检验分析、合理维护与修理的基本能力。</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其任务是讲授现代汽车底盘的构造和工作原理，底盘的维护与修理，常见故障诊断与排除等知识。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6.汽车维护与保养（12学分）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eastAsiaTheme="minorEastAsia"/>
          <w:bCs/>
          <w:sz w:val="28"/>
          <w:szCs w:val="28"/>
          <w:lang w:val="zh-CN"/>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培养掌握学生汽车维护保养的方法相关设备操作流程。</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掌握汽车的基本组成、总体构造、各总成的连接关系及动力传递；各总成的拆卸、</w:t>
      </w:r>
      <w:r>
        <w:rPr>
          <w:rFonts w:hint="eastAsia" w:ascii="宋体" w:hAnsi="宋体" w:cs="宋体" w:eastAsiaTheme="minorEastAsia"/>
          <w:bCs/>
          <w:sz w:val="28"/>
          <w:szCs w:val="28"/>
        </w:rPr>
        <w:t xml:space="preserve"> </w:t>
      </w:r>
      <w:r>
        <w:rPr>
          <w:rFonts w:hint="eastAsia" w:ascii="宋体" w:hAnsi="宋体" w:cs="宋体" w:eastAsiaTheme="minorEastAsia"/>
          <w:bCs/>
          <w:sz w:val="28"/>
          <w:szCs w:val="28"/>
          <w:lang w:val="zh-CN"/>
        </w:rPr>
        <w:t>装配、调整的方法和步骤；能完成汽车一级维护、二级维护、汽车美容、汽车整车拆装等作业内容；具备从事汽车维护、整车拆装等工作岗位的职业基本技能。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7.</w:t>
      </w:r>
      <w:r>
        <w:rPr>
          <w:rFonts w:hint="eastAsia" w:ascii="黑体" w:hAnsi="黑体" w:eastAsia="黑体" w:cs="黑体"/>
          <w:b w:val="0"/>
          <w:bCs/>
          <w:sz w:val="28"/>
          <w:szCs w:val="28"/>
        </w:rPr>
        <w:t>汽车底盘电控技术（2学分）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对底盘电控系统的结构及检修方法进行了系统讲解，并按知识体系将每个教学情境分解成几个学习任务，内容由浅入深，理论与实践结合紧密内容。</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包括电控自动变速器、新型电控变速器、电控防抱死制动系统、电控驱动防滑系统、电控悬架系统、电控动力转向系统等。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8.</w:t>
      </w:r>
      <w:r>
        <w:rPr>
          <w:rFonts w:hint="eastAsia" w:ascii="黑体" w:hAnsi="黑体" w:eastAsia="黑体" w:cs="黑体"/>
          <w:b w:val="0"/>
          <w:bCs/>
          <w:sz w:val="28"/>
          <w:szCs w:val="28"/>
        </w:rPr>
        <w:t>汽车钣金修复（6学分）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eastAsiaTheme="minorEastAsia"/>
          <w:b/>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培养学生具备利用车身维修资料和设备对汽车车身进行钣金维修的能力，培养学生车身修复的职业技能，养成良好的职业素质。</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使学生掌握车身损伤分析、车身尺寸测量、汽车钣金修复基本工艺、车身损伤修复、车身零件的更换等。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9.</w:t>
      </w:r>
      <w:r>
        <w:rPr>
          <w:rFonts w:hint="eastAsia" w:ascii="黑体" w:hAnsi="黑体" w:eastAsia="黑体" w:cs="黑体"/>
          <w:b w:val="0"/>
          <w:bCs/>
          <w:sz w:val="28"/>
          <w:szCs w:val="28"/>
        </w:rPr>
        <w:t>汽车喷涂技术（6学分）</w:t>
      </w:r>
    </w:p>
    <w:p>
      <w:pPr>
        <w:keepNext w:val="0"/>
        <w:keepLines w:val="0"/>
        <w:pageBreakBefore w:val="0"/>
        <w:widowControl w:val="0"/>
        <w:kinsoku/>
        <w:wordWrap/>
        <w:overflowPunct/>
        <w:topLinePunct w:val="0"/>
        <w:autoSpaceDE/>
        <w:autoSpaceDN/>
        <w:bidi w:val="0"/>
        <w:adjustRightInd/>
        <w:snapToGrid/>
        <w:spacing w:line="460" w:lineRule="exact"/>
        <w:ind w:left="140" w:firstLine="140" w:firstLineChars="50"/>
        <w:textAlignment w:val="auto"/>
        <w:rPr>
          <w:rFonts w:ascii="宋体" w:hAnsi="宋体" w:cs="宋体" w:eastAsiaTheme="minorEastAsia"/>
          <w:bCs/>
          <w:sz w:val="28"/>
          <w:szCs w:val="28"/>
          <w:lang w:val="zh-CN"/>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培养学生车身修复的职业技能，养成良好的职业素质，并注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Theme="minorEastAsia"/>
          <w:b/>
          <w:bCs/>
          <w:sz w:val="28"/>
          <w:szCs w:val="28"/>
        </w:rPr>
      </w:pPr>
      <w:r>
        <w:rPr>
          <w:rFonts w:hint="eastAsia" w:ascii="宋体" w:hAnsi="宋体" w:cs="宋体" w:eastAsiaTheme="minorEastAsia"/>
          <w:bCs/>
          <w:sz w:val="28"/>
          <w:szCs w:val="28"/>
          <w:lang w:val="zh-CN"/>
        </w:rPr>
        <w:t>重学生社会能力和综合素质的培养，也是顶岗实习进入汽车喷涂工作岗位前的专业综合技能训练。</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使学生掌握喷枪及辅助设备使用油漆分类、烤漆房使用、原子灰的调配和刮涂操作技术要领、原子灰打磨和车身遮蔽、漆面打磨、漆面抛光、镜面处理、划痕修复、凹槽复原、无喷漆修复、掌握喷枪及辅助设备使用、了解掌握原子灰刮涂及打磨、熟悉漆面护理。</w:t>
      </w:r>
    </w:p>
    <w:p>
      <w:pPr>
        <w:keepNext w:val="0"/>
        <w:keepLines w:val="0"/>
        <w:pageBreakBefore w:val="0"/>
        <w:widowControl w:val="0"/>
        <w:kinsoku/>
        <w:wordWrap/>
        <w:overflowPunct/>
        <w:topLinePunct w:val="0"/>
        <w:autoSpaceDE/>
        <w:autoSpaceDN/>
        <w:bidi w:val="0"/>
        <w:adjustRightInd/>
        <w:snapToGrid/>
        <w:spacing w:beforeLines="50" w:afterLines="50" w:line="460" w:lineRule="exact"/>
        <w:textAlignment w:val="auto"/>
        <w:rPr>
          <w:rFonts w:hint="eastAsia" w:ascii="黑体" w:hAnsi="黑体" w:eastAsia="黑体" w:cs="黑体"/>
          <w:b/>
          <w:bCs/>
          <w:sz w:val="28"/>
          <w:szCs w:val="28"/>
        </w:rPr>
      </w:pPr>
      <w:r>
        <w:rPr>
          <w:rFonts w:hint="eastAsia" w:ascii="黑体" w:hAnsi="黑体" w:eastAsia="黑体" w:cs="黑体"/>
          <w:b/>
          <w:bCs/>
          <w:color w:val="000000" w:themeColor="text1"/>
          <w:sz w:val="28"/>
          <w:szCs w:val="28"/>
          <w14:textFill>
            <w14:solidFill>
              <w14:schemeClr w14:val="tx1"/>
            </w14:solidFill>
          </w14:textFill>
        </w:rPr>
        <w:t>九、</w:t>
      </w:r>
      <w:r>
        <w:rPr>
          <w:rFonts w:hint="eastAsia" w:ascii="黑体" w:hAnsi="黑体" w:eastAsia="黑体" w:cs="黑体"/>
          <w:b/>
          <w:bCs/>
          <w:color w:val="000000" w:themeColor="text1"/>
          <w:sz w:val="28"/>
          <w:szCs w:val="28"/>
          <w:lang w:eastAsia="zh-CN"/>
          <w14:textFill>
            <w14:solidFill>
              <w14:schemeClr w14:val="tx1"/>
            </w14:solidFill>
          </w14:textFill>
        </w:rPr>
        <w:t>实施保障</w:t>
      </w:r>
      <w:r>
        <w:rPr>
          <w:rFonts w:hint="eastAsia" w:ascii="黑体" w:hAnsi="黑体" w:eastAsia="黑体" w:cs="黑体"/>
          <w:b/>
          <w:bCs/>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rPr>
        <w:t>（一）</w:t>
      </w:r>
      <w:r>
        <w:rPr>
          <w:rFonts w:hint="eastAsia" w:ascii="黑体" w:hAnsi="黑体" w:eastAsia="黑体" w:cs="黑体"/>
          <w:b w:val="0"/>
          <w:bCs/>
          <w:sz w:val="28"/>
          <w:szCs w:val="28"/>
          <w:lang w:eastAsia="zh-CN"/>
        </w:rPr>
        <w:t>师资队伍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eastAsiaTheme="minorEastAsia"/>
          <w:bCs/>
          <w:color w:val="000000"/>
          <w:sz w:val="28"/>
          <w:szCs w:val="28"/>
        </w:rPr>
      </w:pPr>
      <w:r>
        <w:rPr>
          <w:rFonts w:hint="eastAsia" w:ascii="宋体" w:hAnsi="宋体" w:cs="宋体" w:eastAsiaTheme="minorEastAsia"/>
          <w:bCs/>
          <w:color w:val="000000"/>
          <w:sz w:val="28"/>
          <w:szCs w:val="28"/>
        </w:rPr>
        <w:t>汽车检测与维修技术专业教学团队现有校内专任教师4人、兼职教师4人；其中中级职称以上教师4人，具有“双师型”教师资格8人。</w:t>
      </w:r>
    </w:p>
    <w:p>
      <w:pPr>
        <w:pStyle w:val="2"/>
      </w:pPr>
    </w:p>
    <w:tbl>
      <w:tblPr>
        <w:tblStyle w:val="3"/>
        <w:tblpPr w:leftFromText="180" w:rightFromText="180" w:vertAnchor="text" w:horzAnchor="page" w:tblpX="1384" w:tblpY="226"/>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030"/>
        <w:gridCol w:w="2933"/>
        <w:gridCol w:w="1720"/>
        <w:gridCol w:w="191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030"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姓名</w:t>
            </w:r>
          </w:p>
        </w:tc>
        <w:tc>
          <w:tcPr>
            <w:tcW w:w="2933" w:type="dxa"/>
            <w:vAlign w:val="center"/>
          </w:tcPr>
          <w:p>
            <w:pPr>
              <w:spacing w:line="560" w:lineRule="exact"/>
              <w:ind w:firstLine="420" w:firstLineChars="20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工作单位</w:t>
            </w:r>
          </w:p>
        </w:tc>
        <w:tc>
          <w:tcPr>
            <w:tcW w:w="1720"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专业</w:t>
            </w:r>
          </w:p>
        </w:tc>
        <w:tc>
          <w:tcPr>
            <w:tcW w:w="1917"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职称/资格证</w:t>
            </w:r>
          </w:p>
        </w:tc>
        <w:tc>
          <w:tcPr>
            <w:tcW w:w="1200"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是否双师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马宁</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宁夏民族职业技术学院</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交通运输</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讲师（工程师）</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杨彩虹</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宁夏民族职业技术学院</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交通运输</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讲师（工程师）</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马涛</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宁夏民族职业技术学院</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交通运输</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助教（工程师）</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魏凯</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宁夏民族职业技术学院</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汽车服务工程</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教员（工程师）</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拓文斌</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吴忠小拓汽修厂</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汽车维修</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中级汽车维修工</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杨立东</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吴忠西门汽修厂</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汽车维修</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工程师</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邵龙</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吴忠新世纪汽车调漆中心</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汽车喷涂</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中级汽车维修工</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03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李勇</w:t>
            </w:r>
          </w:p>
        </w:tc>
        <w:tc>
          <w:tcPr>
            <w:tcW w:w="2933" w:type="dxa"/>
            <w:vAlign w:val="center"/>
          </w:tcPr>
          <w:p>
            <w:pPr>
              <w:spacing w:line="5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宁夏吴忠吉利4S店</w:t>
            </w:r>
          </w:p>
        </w:tc>
        <w:tc>
          <w:tcPr>
            <w:tcW w:w="172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汽车维修</w:t>
            </w:r>
          </w:p>
        </w:tc>
        <w:tc>
          <w:tcPr>
            <w:tcW w:w="1917"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高级工程师</w:t>
            </w:r>
          </w:p>
        </w:tc>
        <w:tc>
          <w:tcPr>
            <w:tcW w:w="1200"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r>
    </w:tbl>
    <w:p>
      <w:pPr>
        <w:keepNext w:val="0"/>
        <w:keepLines w:val="0"/>
        <w:pageBreakBefore w:val="0"/>
        <w:widowControl w:val="0"/>
        <w:kinsoku/>
        <w:wordWrap/>
        <w:overflowPunct/>
        <w:topLinePunct w:val="0"/>
        <w:autoSpaceDE/>
        <w:autoSpaceDN/>
        <w:bidi w:val="0"/>
        <w:adjustRightInd/>
        <w:snapToGrid/>
        <w:spacing w:beforeLines="50" w:afterLines="50" w:line="460" w:lineRule="exact"/>
        <w:ind w:firstLine="280" w:firstLineChars="100"/>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rPr>
        <w:t>（二）</w:t>
      </w:r>
      <w:r>
        <w:rPr>
          <w:rFonts w:hint="eastAsia" w:ascii="黑体" w:hAnsi="黑体" w:eastAsia="黑体" w:cs="黑体"/>
          <w:b w:val="0"/>
          <w:bCs/>
          <w:sz w:val="28"/>
          <w:szCs w:val="28"/>
          <w:lang w:eastAsia="zh-CN"/>
        </w:rPr>
        <w:t>教材选用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color w:val="FF0000"/>
          <w:sz w:val="28"/>
          <w:szCs w:val="28"/>
        </w:rPr>
      </w:pPr>
      <w:r>
        <w:rPr>
          <w:rFonts w:hint="eastAsia" w:ascii="宋体" w:hAnsi="宋体" w:eastAsiaTheme="minorEastAsia"/>
          <w:sz w:val="28"/>
          <w:szCs w:val="28"/>
        </w:rPr>
        <w:t>按照国家规定选用优质教材。</w:t>
      </w:r>
    </w:p>
    <w:p>
      <w:pPr>
        <w:keepNext w:val="0"/>
        <w:keepLines w:val="0"/>
        <w:pageBreakBefore w:val="0"/>
        <w:widowControl w:val="0"/>
        <w:kinsoku/>
        <w:wordWrap/>
        <w:overflowPunct/>
        <w:topLinePunct w:val="0"/>
        <w:autoSpaceDE/>
        <w:autoSpaceDN/>
        <w:bidi w:val="0"/>
        <w:adjustRightInd/>
        <w:snapToGrid/>
        <w:spacing w:beforeLines="50" w:afterLines="50" w:line="460" w:lineRule="exact"/>
        <w:ind w:firstLine="280" w:firstLineChars="100"/>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rPr>
        <w:t>（三）教学</w:t>
      </w:r>
      <w:r>
        <w:rPr>
          <w:rFonts w:hint="eastAsia" w:ascii="黑体" w:hAnsi="黑体" w:eastAsia="黑体" w:cs="黑体"/>
          <w:b w:val="0"/>
          <w:bCs/>
          <w:sz w:val="28"/>
          <w:szCs w:val="28"/>
          <w:lang w:eastAsia="zh-CN"/>
        </w:rPr>
        <w:t>条件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eastAsiaTheme="minorEastAsia"/>
          <w:b/>
          <w:bCs/>
          <w:sz w:val="28"/>
          <w:szCs w:val="28"/>
          <w:lang w:eastAsia="zh-CN"/>
        </w:rPr>
      </w:pPr>
      <w:r>
        <w:rPr>
          <w:rFonts w:ascii="宋体" w:hAnsi="宋体" w:eastAsiaTheme="minorEastAsia"/>
          <w:b/>
          <w:bCs/>
          <w:sz w:val="28"/>
          <w:szCs w:val="28"/>
        </w:rPr>
        <w:t>1</w:t>
      </w:r>
      <w:r>
        <w:rPr>
          <w:rFonts w:hint="eastAsia" w:ascii="宋体" w:hAnsi="宋体" w:eastAsiaTheme="minorEastAsia"/>
          <w:b/>
          <w:bCs/>
          <w:sz w:val="28"/>
          <w:szCs w:val="28"/>
          <w:lang w:eastAsia="zh-CN"/>
        </w:rPr>
        <w:t>.</w:t>
      </w:r>
      <w:r>
        <w:rPr>
          <w:rFonts w:eastAsiaTheme="minorEastAsia"/>
          <w:b/>
          <w:bCs/>
          <w:sz w:val="28"/>
          <w:szCs w:val="28"/>
        </w:rPr>
        <w:t>校内实训</w:t>
      </w:r>
      <w:r>
        <w:rPr>
          <w:rFonts w:hint="eastAsia" w:eastAsiaTheme="minorEastAsia"/>
          <w:b/>
          <w:bCs/>
          <w:sz w:val="28"/>
          <w:szCs w:val="28"/>
          <w:lang w:eastAsia="zh-CN"/>
        </w:rPr>
        <w:t>设施</w:t>
      </w:r>
    </w:p>
    <w:tbl>
      <w:tblPr>
        <w:tblStyle w:val="3"/>
        <w:tblW w:w="8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2205"/>
        <w:gridCol w:w="3569"/>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815" w:type="dxa"/>
            <w:vAlign w:val="center"/>
          </w:tcPr>
          <w:p>
            <w:pPr>
              <w:widowControl/>
              <w:adjustRightInd w:val="0"/>
              <w:snapToGrid w:val="0"/>
              <w:spacing w:line="32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lang w:eastAsia="zh-CN"/>
              </w:rPr>
              <w:t>序</w:t>
            </w:r>
            <w:r>
              <w:rPr>
                <w:rFonts w:hint="eastAsia" w:ascii="宋体" w:hAnsi="宋体" w:eastAsia="宋体" w:cs="宋体"/>
                <w:b w:val="0"/>
                <w:bCs w:val="0"/>
                <w:kern w:val="0"/>
                <w:sz w:val="24"/>
              </w:rPr>
              <w:t>号</w:t>
            </w:r>
          </w:p>
        </w:tc>
        <w:tc>
          <w:tcPr>
            <w:tcW w:w="2205" w:type="dxa"/>
            <w:vAlign w:val="center"/>
          </w:tcPr>
          <w:p>
            <w:pPr>
              <w:widowControl/>
              <w:adjustRightInd w:val="0"/>
              <w:snapToGrid w:val="0"/>
              <w:spacing w:line="320" w:lineRule="exact"/>
              <w:ind w:firstLine="360" w:firstLineChars="150"/>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实训室名称</w:t>
            </w:r>
          </w:p>
        </w:tc>
        <w:tc>
          <w:tcPr>
            <w:tcW w:w="3569" w:type="dxa"/>
            <w:vAlign w:val="center"/>
          </w:tcPr>
          <w:p>
            <w:pPr>
              <w:widowControl/>
              <w:adjustRightInd w:val="0"/>
              <w:snapToGrid w:val="0"/>
              <w:spacing w:line="32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实训设备</w:t>
            </w:r>
          </w:p>
        </w:tc>
        <w:tc>
          <w:tcPr>
            <w:tcW w:w="2151" w:type="dxa"/>
            <w:vAlign w:val="center"/>
          </w:tcPr>
          <w:p>
            <w:pPr>
              <w:widowControl/>
              <w:adjustRightInd w:val="0"/>
              <w:snapToGrid w:val="0"/>
              <w:spacing w:line="32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开展实训课程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815" w:type="dxa"/>
            <w:vAlign w:val="center"/>
          </w:tcPr>
          <w:p>
            <w:pPr>
              <w:widowControl/>
              <w:adjustRightInd w:val="0"/>
              <w:snapToGrid w:val="0"/>
              <w:spacing w:line="320" w:lineRule="exact"/>
              <w:jc w:val="center"/>
              <w:rPr>
                <w:rFonts w:ascii="宋体" w:hAnsi="宋体" w:cs="Arial" w:eastAsiaTheme="minorEastAsia"/>
                <w:kern w:val="0"/>
                <w:szCs w:val="21"/>
              </w:rPr>
            </w:pPr>
            <w:r>
              <w:rPr>
                <w:rFonts w:ascii="宋体" w:hAnsi="宋体" w:cs="Arial" w:eastAsiaTheme="minorEastAsia"/>
                <w:kern w:val="0"/>
                <w:szCs w:val="21"/>
              </w:rPr>
              <w:t>1</w:t>
            </w:r>
          </w:p>
        </w:tc>
        <w:tc>
          <w:tcPr>
            <w:tcW w:w="2205"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eastAsiaTheme="minorEastAsia"/>
                <w:szCs w:val="21"/>
              </w:rPr>
              <w:t>汽车营销实训室</w:t>
            </w:r>
          </w:p>
        </w:tc>
        <w:tc>
          <w:tcPr>
            <w:tcW w:w="3569"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营销实训工作台、营销教学管理系统、投影设备和音响设备等</w:t>
            </w:r>
          </w:p>
        </w:tc>
        <w:tc>
          <w:tcPr>
            <w:tcW w:w="2151"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汽车营销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815" w:type="dxa"/>
            <w:vAlign w:val="center"/>
          </w:tcPr>
          <w:p>
            <w:pPr>
              <w:widowControl/>
              <w:adjustRightInd w:val="0"/>
              <w:snapToGrid w:val="0"/>
              <w:spacing w:line="320" w:lineRule="exact"/>
              <w:jc w:val="center"/>
              <w:rPr>
                <w:rFonts w:ascii="宋体" w:hAnsi="宋体" w:cs="Arial" w:eastAsiaTheme="minorEastAsia"/>
                <w:kern w:val="0"/>
                <w:szCs w:val="21"/>
              </w:rPr>
            </w:pPr>
            <w:r>
              <w:rPr>
                <w:rFonts w:ascii="宋体" w:hAnsi="宋体" w:cs="Arial" w:eastAsiaTheme="minorEastAsia"/>
                <w:kern w:val="0"/>
                <w:szCs w:val="21"/>
              </w:rPr>
              <w:t>2</w:t>
            </w:r>
          </w:p>
        </w:tc>
        <w:tc>
          <w:tcPr>
            <w:tcW w:w="2205"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eastAsiaTheme="minorEastAsia"/>
                <w:szCs w:val="21"/>
              </w:rPr>
              <w:t>汽车保险理赔实训室</w:t>
            </w:r>
          </w:p>
        </w:tc>
        <w:tc>
          <w:tcPr>
            <w:tcW w:w="3569"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理赔实训工作台、理赔教学管理系统）、投影设备和音响设备等</w:t>
            </w:r>
          </w:p>
        </w:tc>
        <w:tc>
          <w:tcPr>
            <w:tcW w:w="2151"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汽车理赔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815" w:type="dxa"/>
            <w:vAlign w:val="center"/>
          </w:tcPr>
          <w:p>
            <w:pPr>
              <w:widowControl/>
              <w:adjustRightInd w:val="0"/>
              <w:snapToGrid w:val="0"/>
              <w:spacing w:line="320" w:lineRule="exact"/>
              <w:jc w:val="center"/>
              <w:rPr>
                <w:rFonts w:ascii="宋体" w:hAnsi="宋体" w:cs="Arial" w:eastAsiaTheme="minorEastAsia"/>
                <w:kern w:val="0"/>
                <w:szCs w:val="21"/>
              </w:rPr>
            </w:pPr>
            <w:r>
              <w:rPr>
                <w:rFonts w:ascii="宋体" w:hAnsi="宋体" w:cs="Arial" w:eastAsiaTheme="minorEastAsia"/>
                <w:kern w:val="0"/>
                <w:szCs w:val="21"/>
              </w:rPr>
              <w:t>3</w:t>
            </w:r>
          </w:p>
        </w:tc>
        <w:tc>
          <w:tcPr>
            <w:tcW w:w="2205"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eastAsiaTheme="minorEastAsia"/>
                <w:szCs w:val="21"/>
              </w:rPr>
              <w:t>汽车维护保养实训室</w:t>
            </w:r>
          </w:p>
        </w:tc>
        <w:tc>
          <w:tcPr>
            <w:tcW w:w="3569"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有四轮定位仪，诊断电脑，举升机，轮胎平衡机、空调检漏仪、轮胎扒胎机等</w:t>
            </w:r>
          </w:p>
        </w:tc>
        <w:tc>
          <w:tcPr>
            <w:tcW w:w="2151"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汽车构造与维修、汽车维护保养、汽车底盘拆装、汽车故障排查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815" w:type="dxa"/>
            <w:vAlign w:val="center"/>
          </w:tcPr>
          <w:p>
            <w:pPr>
              <w:jc w:val="center"/>
              <w:rPr>
                <w:rFonts w:ascii="宋体" w:hAnsi="宋体" w:cs="Arial" w:eastAsiaTheme="minorEastAsia"/>
                <w:kern w:val="0"/>
                <w:szCs w:val="21"/>
              </w:rPr>
            </w:pPr>
            <w:r>
              <w:rPr>
                <w:rFonts w:ascii="宋体" w:hAnsi="宋体" w:cs="Arial" w:eastAsiaTheme="minorEastAsia"/>
                <w:kern w:val="0"/>
                <w:szCs w:val="21"/>
              </w:rPr>
              <w:t>4</w:t>
            </w:r>
          </w:p>
        </w:tc>
        <w:tc>
          <w:tcPr>
            <w:tcW w:w="2205" w:type="dxa"/>
            <w:vAlign w:val="center"/>
          </w:tcPr>
          <w:p>
            <w:pPr>
              <w:jc w:val="center"/>
              <w:rPr>
                <w:rFonts w:ascii="宋体" w:hAnsi="宋体" w:cs="Arial" w:eastAsiaTheme="minorEastAsia"/>
                <w:kern w:val="0"/>
                <w:szCs w:val="21"/>
              </w:rPr>
            </w:pPr>
            <w:r>
              <w:rPr>
                <w:rFonts w:hint="eastAsia" w:ascii="宋体" w:hAnsi="宋体" w:eastAsiaTheme="minorEastAsia"/>
                <w:szCs w:val="21"/>
              </w:rPr>
              <w:t>汽车电器实训室：</w:t>
            </w:r>
          </w:p>
        </w:tc>
        <w:tc>
          <w:tcPr>
            <w:tcW w:w="3569"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汽车电器实训台架、发动机、全车电器系统示教版、发动机电控系统示教版、点火系统示教版、汽车充电系统台架、汽车启动系统台架等</w:t>
            </w:r>
          </w:p>
        </w:tc>
        <w:tc>
          <w:tcPr>
            <w:tcW w:w="2151" w:type="dxa"/>
            <w:vAlign w:val="center"/>
          </w:tcPr>
          <w:p>
            <w:pPr>
              <w:jc w:val="center"/>
              <w:rPr>
                <w:rFonts w:ascii="宋体" w:hAnsi="宋体" w:cs="Arial" w:eastAsiaTheme="minorEastAsia"/>
                <w:kern w:val="0"/>
                <w:szCs w:val="21"/>
              </w:rPr>
            </w:pPr>
            <w:r>
              <w:rPr>
                <w:rFonts w:hint="eastAsia" w:ascii="宋体" w:hAnsi="宋体" w:cs="Arial" w:eastAsiaTheme="minorEastAsia"/>
                <w:kern w:val="0"/>
                <w:szCs w:val="21"/>
              </w:rPr>
              <w:t>汽车电器、汽车电控、汽车故障排查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815" w:type="dxa"/>
            <w:vAlign w:val="center"/>
          </w:tcPr>
          <w:p>
            <w:pPr>
              <w:jc w:val="center"/>
              <w:rPr>
                <w:rFonts w:ascii="宋体" w:hAnsi="宋体" w:cs="Arial" w:eastAsiaTheme="minorEastAsia"/>
                <w:kern w:val="0"/>
                <w:szCs w:val="21"/>
              </w:rPr>
            </w:pPr>
            <w:r>
              <w:rPr>
                <w:rFonts w:ascii="宋体" w:hAnsi="宋体" w:cs="Arial" w:eastAsiaTheme="minorEastAsia"/>
                <w:kern w:val="0"/>
                <w:szCs w:val="21"/>
              </w:rPr>
              <w:t>5</w:t>
            </w:r>
          </w:p>
        </w:tc>
        <w:tc>
          <w:tcPr>
            <w:tcW w:w="2205" w:type="dxa"/>
            <w:vAlign w:val="center"/>
          </w:tcPr>
          <w:p>
            <w:pPr>
              <w:jc w:val="center"/>
              <w:rPr>
                <w:rFonts w:ascii="宋体" w:hAnsi="宋体" w:cs="Arial" w:eastAsiaTheme="minorEastAsia"/>
                <w:kern w:val="0"/>
                <w:szCs w:val="21"/>
              </w:rPr>
            </w:pPr>
            <w:r>
              <w:rPr>
                <w:rFonts w:hint="eastAsia" w:ascii="宋体" w:hAnsi="宋体" w:eastAsiaTheme="minorEastAsia"/>
                <w:szCs w:val="21"/>
              </w:rPr>
              <w:t>汽车车身修复一体化实训室</w:t>
            </w:r>
          </w:p>
        </w:tc>
        <w:tc>
          <w:tcPr>
            <w:tcW w:w="3569"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大梁校正仪、烤漆房、红外线烤灯、车身修复机、分离式液压千斤顶、气泵、CO2气体保护焊机、抛光机等</w:t>
            </w:r>
          </w:p>
        </w:tc>
        <w:tc>
          <w:tcPr>
            <w:tcW w:w="2151" w:type="dxa"/>
            <w:vAlign w:val="center"/>
          </w:tcPr>
          <w:p>
            <w:pPr>
              <w:jc w:val="center"/>
              <w:rPr>
                <w:rFonts w:ascii="宋体" w:hAnsi="宋体" w:cs="Arial" w:eastAsiaTheme="minorEastAsia"/>
                <w:kern w:val="0"/>
                <w:szCs w:val="21"/>
              </w:rPr>
            </w:pPr>
            <w:r>
              <w:rPr>
                <w:rFonts w:hint="eastAsia" w:ascii="宋体" w:hAnsi="宋体" w:cs="Arial" w:eastAsiaTheme="minorEastAsia"/>
                <w:kern w:val="0"/>
                <w:szCs w:val="21"/>
              </w:rPr>
              <w:t>汽车钣金、汽车喷涂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815" w:type="dxa"/>
            <w:vAlign w:val="center"/>
          </w:tcPr>
          <w:p>
            <w:pPr>
              <w:jc w:val="center"/>
              <w:rPr>
                <w:rFonts w:ascii="宋体" w:hAnsi="宋体" w:cs="Arial" w:eastAsiaTheme="minorEastAsia"/>
                <w:kern w:val="0"/>
                <w:szCs w:val="21"/>
              </w:rPr>
            </w:pPr>
            <w:r>
              <w:rPr>
                <w:rFonts w:ascii="宋体" w:hAnsi="宋体" w:cs="Arial" w:eastAsiaTheme="minorEastAsia"/>
                <w:kern w:val="0"/>
                <w:szCs w:val="21"/>
              </w:rPr>
              <w:t>6</w:t>
            </w:r>
          </w:p>
        </w:tc>
        <w:tc>
          <w:tcPr>
            <w:tcW w:w="2205" w:type="dxa"/>
            <w:vAlign w:val="center"/>
          </w:tcPr>
          <w:p>
            <w:pPr>
              <w:jc w:val="center"/>
              <w:rPr>
                <w:rFonts w:ascii="宋体" w:hAnsi="宋体" w:cs="Arial" w:eastAsiaTheme="minorEastAsia"/>
                <w:kern w:val="0"/>
                <w:szCs w:val="21"/>
              </w:rPr>
            </w:pPr>
            <w:r>
              <w:rPr>
                <w:rFonts w:hint="eastAsia" w:ascii="宋体" w:hAnsi="宋体" w:eastAsiaTheme="minorEastAsia"/>
                <w:szCs w:val="21"/>
              </w:rPr>
              <w:t>汽车整车实训室</w:t>
            </w:r>
          </w:p>
        </w:tc>
        <w:tc>
          <w:tcPr>
            <w:tcW w:w="3569"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汽车发动机整机实训台架、发动机CVT变速箱实训台架、全车CAN总线实训台架、汽车ABS实训台架灯</w:t>
            </w:r>
          </w:p>
        </w:tc>
        <w:tc>
          <w:tcPr>
            <w:tcW w:w="2151" w:type="dxa"/>
            <w:vAlign w:val="center"/>
          </w:tcPr>
          <w:p>
            <w:pPr>
              <w:jc w:val="center"/>
              <w:rPr>
                <w:rFonts w:ascii="宋体" w:hAnsi="宋体" w:cs="Arial" w:eastAsiaTheme="minorEastAsia"/>
                <w:kern w:val="0"/>
                <w:szCs w:val="21"/>
              </w:rPr>
            </w:pPr>
            <w:r>
              <w:rPr>
                <w:rFonts w:hint="eastAsia" w:ascii="宋体" w:hAnsi="宋体" w:cs="Arial" w:eastAsiaTheme="minorEastAsia"/>
                <w:kern w:val="0"/>
                <w:szCs w:val="21"/>
              </w:rPr>
              <w:t>汽车电控、汽车构造与维修、汽车底盘与维修、汽车故障诊断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815" w:type="dxa"/>
            <w:vAlign w:val="center"/>
          </w:tcPr>
          <w:p>
            <w:pPr>
              <w:jc w:val="center"/>
              <w:rPr>
                <w:rFonts w:hint="default" w:ascii="宋体" w:hAnsi="宋体" w:cs="Arial" w:eastAsiaTheme="minorEastAsia"/>
                <w:kern w:val="0"/>
                <w:szCs w:val="21"/>
                <w:lang w:val="en-US" w:eastAsia="zh-CN"/>
              </w:rPr>
            </w:pPr>
            <w:r>
              <w:rPr>
                <w:rFonts w:hint="eastAsia" w:ascii="宋体" w:hAnsi="宋体" w:cs="Arial" w:eastAsiaTheme="minorEastAsia"/>
                <w:kern w:val="0"/>
                <w:szCs w:val="21"/>
                <w:lang w:val="en-US" w:eastAsia="zh-CN"/>
              </w:rPr>
              <w:t>7</w:t>
            </w:r>
          </w:p>
        </w:tc>
        <w:tc>
          <w:tcPr>
            <w:tcW w:w="2205" w:type="dxa"/>
            <w:vAlign w:val="center"/>
          </w:tcPr>
          <w:p>
            <w:pPr>
              <w:jc w:val="center"/>
              <w:rPr>
                <w:rFonts w:ascii="宋体" w:hAnsi="宋体" w:eastAsiaTheme="minorEastAsia"/>
                <w:szCs w:val="21"/>
              </w:rPr>
            </w:pPr>
            <w:r>
              <w:rPr>
                <w:rFonts w:hint="eastAsia" w:ascii="宋体" w:hAnsi="宋体" w:eastAsiaTheme="minorEastAsia"/>
                <w:szCs w:val="21"/>
              </w:rPr>
              <w:t>汽车机械维修实训室</w:t>
            </w:r>
          </w:p>
        </w:tc>
        <w:tc>
          <w:tcPr>
            <w:tcW w:w="3569" w:type="dxa"/>
            <w:vAlign w:val="center"/>
          </w:tcPr>
          <w:p>
            <w:pPr>
              <w:widowControl/>
              <w:adjustRightInd w:val="0"/>
              <w:snapToGrid w:val="0"/>
              <w:spacing w:line="320" w:lineRule="exact"/>
              <w:jc w:val="center"/>
              <w:rPr>
                <w:rFonts w:ascii="宋体" w:hAnsi="宋体" w:cs="Arial" w:eastAsiaTheme="minorEastAsia"/>
                <w:kern w:val="0"/>
                <w:szCs w:val="21"/>
              </w:rPr>
            </w:pPr>
            <w:r>
              <w:rPr>
                <w:rFonts w:hint="eastAsia" w:ascii="宋体" w:hAnsi="宋体" w:cs="Arial" w:eastAsiaTheme="minorEastAsia"/>
                <w:kern w:val="0"/>
                <w:szCs w:val="21"/>
              </w:rPr>
              <w:t>镗缸机、车床、铣床、线切割、电火花床等</w:t>
            </w:r>
          </w:p>
        </w:tc>
        <w:tc>
          <w:tcPr>
            <w:tcW w:w="2151" w:type="dxa"/>
            <w:vAlign w:val="center"/>
          </w:tcPr>
          <w:p>
            <w:pPr>
              <w:jc w:val="center"/>
              <w:rPr>
                <w:rFonts w:ascii="宋体" w:hAnsi="宋体" w:cs="Arial" w:eastAsiaTheme="minorEastAsia"/>
                <w:kern w:val="0"/>
                <w:szCs w:val="21"/>
              </w:rPr>
            </w:pPr>
            <w:r>
              <w:rPr>
                <w:rFonts w:hint="eastAsia" w:ascii="宋体" w:hAnsi="宋体" w:cs="Arial" w:eastAsiaTheme="minorEastAsia"/>
                <w:kern w:val="0"/>
                <w:szCs w:val="21"/>
              </w:rPr>
              <w:t>汽车构造与维修、汽车底盘与维修、汽车故障诊断</w:t>
            </w:r>
          </w:p>
        </w:tc>
      </w:tr>
    </w:tbl>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eastAsiaTheme="minorEastAsia"/>
          <w:b/>
          <w:bCs/>
          <w:sz w:val="28"/>
          <w:szCs w:val="28"/>
        </w:rPr>
      </w:pPr>
      <w:r>
        <w:rPr>
          <w:rFonts w:hint="eastAsia" w:eastAsiaTheme="minorEastAsia"/>
          <w:b/>
          <w:bCs/>
          <w:sz w:val="28"/>
          <w:szCs w:val="28"/>
        </w:rPr>
        <w:t>2</w:t>
      </w:r>
      <w:r>
        <w:rPr>
          <w:rFonts w:hint="eastAsia" w:eastAsiaTheme="minorEastAsia"/>
          <w:b/>
          <w:bCs/>
          <w:sz w:val="28"/>
          <w:szCs w:val="28"/>
          <w:lang w:eastAsia="zh-CN"/>
        </w:rPr>
        <w:t>.</w:t>
      </w:r>
      <w:r>
        <w:rPr>
          <w:rFonts w:eastAsiaTheme="minorEastAsia"/>
          <w:b/>
          <w:bCs/>
          <w:sz w:val="28"/>
          <w:szCs w:val="28"/>
        </w:rPr>
        <w:t>校外实训基地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Theme="minorEastAsia"/>
          <w:sz w:val="28"/>
          <w:szCs w:val="28"/>
        </w:rPr>
      </w:pPr>
      <w:r>
        <w:rPr>
          <w:rFonts w:hint="eastAsia" w:ascii="宋体" w:hAnsi="宋体" w:eastAsiaTheme="minorEastAsia"/>
          <w:sz w:val="28"/>
          <w:szCs w:val="28"/>
        </w:rPr>
        <w:t>具有较稳定的校外实训实习基地；能够开展汽修专业实训活动，实训设施齐全；实训岗位、实训指导教师明确、实训管理及实训规章制度齐全；能够提供汽车营销、保险理赔、汽车维护保养、汽车售后服务、汽车维修、汽车钣金喷涂等相关实习岗位；能涵盖当前相关产业发展的主流技术，可接纳一定规模的学生实习；能够配备相应数量的指导教师对学生实习进行指导和管理；有保证实习生日常工作、学习、生活的规章制度、有安全、保险保障。</w:t>
      </w:r>
    </w:p>
    <w:p>
      <w:pPr>
        <w:pStyle w:val="2"/>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3696"/>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6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校外实习基地名称</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1</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吴忠国喜丰田4S店</w:t>
            </w:r>
          </w:p>
        </w:tc>
        <w:tc>
          <w:tcPr>
            <w:tcW w:w="4010" w:type="dxa"/>
            <w:vMerge w:val="restart"/>
            <w:tcBorders>
              <w:top w:val="single" w:color="auto" w:sz="4" w:space="0"/>
              <w:left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教学及科研、教师/学生岗位实践锻炼及学生就业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2</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吴忠广汽本田4S店</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3</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吴忠东风本田4S店</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4</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吴忠北京现代4S店</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5</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吴忠吉利4S店</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6</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吴忠奇瑞4S店</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7</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吴忠大众修理厂</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8</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吴忠小拓汽修厂</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9</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吴忠西门汽修厂</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10</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小魏汽修厂</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11</w:t>
            </w:r>
          </w:p>
        </w:tc>
        <w:tc>
          <w:tcPr>
            <w:tcW w:w="3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Cs w:val="21"/>
              </w:rPr>
            </w:pPr>
            <w:r>
              <w:rPr>
                <w:rFonts w:hint="eastAsia" w:ascii="宋体" w:eastAsiaTheme="minorEastAsia"/>
                <w:szCs w:val="21"/>
              </w:rPr>
              <w:t>贺兰嘉通汽修厂</w:t>
            </w:r>
          </w:p>
        </w:tc>
        <w:tc>
          <w:tcPr>
            <w:tcW w:w="4010" w:type="dxa"/>
            <w:vMerge w:val="continue"/>
            <w:tcBorders>
              <w:left w:val="single" w:color="auto" w:sz="4" w:space="0"/>
              <w:right w:val="single" w:color="auto" w:sz="4" w:space="0"/>
            </w:tcBorders>
            <w:vAlign w:val="center"/>
          </w:tcPr>
          <w:p>
            <w:pPr>
              <w:jc w:val="center"/>
              <w:rPr>
                <w:rFonts w:eastAsiaTheme="minorEastAsia"/>
              </w:rPr>
            </w:pP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48712FBE"/>
    <w:rsid w:val="06B11ADD"/>
    <w:rsid w:val="4871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2023-06-12T02:30:00Z</dcterms:created>
  <dc:creator>幸运草</dc:creator>
  <cp:lastModifiedBy>幸运草</cp:lastModifiedBy>
  <dcterms:modified xsi:type="dcterms:W3CDTF">2023-06-12T02:31:37Z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539E607C61E64F3E894678F99E9F4907_11</vt:lpwstr>
  </property>
</Properties>
</file>